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400" w:lineRule="exact"/>
        <w:jc w:val="center"/>
        <w:rPr>
          <w:rFonts w:eastAsia="楷体"/>
          <w:b/>
          <w:bCs/>
          <w:szCs w:val="32"/>
        </w:rPr>
      </w:pPr>
      <w:r>
        <w:rPr>
          <w:rFonts w:eastAsia="楷体"/>
          <w:b/>
          <w:bCs/>
          <w:szCs w:val="32"/>
        </w:rPr>
        <w:t>2021年度广西科技进步奖提名公示信息表</w:t>
      </w:r>
    </w:p>
    <w:tbl>
      <w:tblPr>
        <w:tblStyle w:val="6"/>
        <w:tblW w:w="50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4"/>
        <w:gridCol w:w="453"/>
        <w:gridCol w:w="205"/>
        <w:gridCol w:w="474"/>
        <w:gridCol w:w="504"/>
        <w:gridCol w:w="372"/>
        <w:gridCol w:w="1670"/>
        <w:gridCol w:w="955"/>
        <w:gridCol w:w="168"/>
        <w:gridCol w:w="892"/>
        <w:gridCol w:w="117"/>
        <w:gridCol w:w="664"/>
        <w:gridCol w:w="1252"/>
        <w:gridCol w:w="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797" w:type="pct"/>
            <w:gridSpan w:val="4"/>
            <w:shd w:val="clear" w:color="auto" w:fill="auto"/>
            <w:vAlign w:val="center"/>
          </w:tcPr>
          <w:p>
            <w:pPr>
              <w:spacing w:line="360" w:lineRule="exact"/>
              <w:jc w:val="center"/>
              <w:rPr>
                <w:rFonts w:eastAsia="楷体"/>
                <w:b/>
                <w:kern w:val="0"/>
                <w:sz w:val="24"/>
                <w:szCs w:val="24"/>
              </w:rPr>
            </w:pPr>
            <w:r>
              <w:rPr>
                <w:rFonts w:eastAsia="楷体"/>
                <w:b/>
                <w:kern w:val="0"/>
                <w:sz w:val="24"/>
                <w:szCs w:val="24"/>
              </w:rPr>
              <w:t>项目名称</w:t>
            </w:r>
          </w:p>
        </w:tc>
        <w:tc>
          <w:tcPr>
            <w:tcW w:w="4203" w:type="pct"/>
            <w:gridSpan w:val="10"/>
            <w:shd w:val="clear" w:color="auto" w:fill="auto"/>
            <w:vAlign w:val="center"/>
          </w:tcPr>
          <w:p>
            <w:pPr>
              <w:spacing w:line="360" w:lineRule="exact"/>
              <w:jc w:val="center"/>
              <w:rPr>
                <w:rFonts w:eastAsia="楷体"/>
                <w:kern w:val="0"/>
                <w:sz w:val="28"/>
                <w:szCs w:val="28"/>
              </w:rPr>
            </w:pPr>
            <w:r>
              <w:rPr>
                <w:rFonts w:hint="eastAsia" w:eastAsia="楷体"/>
                <w:kern w:val="0"/>
                <w:sz w:val="21"/>
                <w:szCs w:val="21"/>
              </w:rPr>
              <w:t>农业活动区水土复合污染防控及其风险评估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797" w:type="pct"/>
            <w:gridSpan w:val="4"/>
            <w:shd w:val="clear" w:color="auto" w:fill="auto"/>
            <w:vAlign w:val="center"/>
          </w:tcPr>
          <w:p>
            <w:pPr>
              <w:spacing w:line="360" w:lineRule="exact"/>
              <w:jc w:val="center"/>
              <w:rPr>
                <w:rFonts w:eastAsia="楷体"/>
                <w:b/>
                <w:kern w:val="0"/>
                <w:sz w:val="24"/>
                <w:szCs w:val="24"/>
              </w:rPr>
            </w:pPr>
            <w:r>
              <w:rPr>
                <w:rFonts w:eastAsia="楷体"/>
                <w:b/>
                <w:kern w:val="0"/>
                <w:sz w:val="24"/>
                <w:szCs w:val="24"/>
              </w:rPr>
              <w:t>提名单位</w:t>
            </w:r>
          </w:p>
        </w:tc>
        <w:tc>
          <w:tcPr>
            <w:tcW w:w="2204" w:type="pct"/>
            <w:gridSpan w:val="5"/>
            <w:shd w:val="clear" w:color="auto" w:fill="auto"/>
            <w:vAlign w:val="center"/>
          </w:tcPr>
          <w:p>
            <w:pPr>
              <w:spacing w:line="360" w:lineRule="exact"/>
              <w:jc w:val="center"/>
              <w:rPr>
                <w:rFonts w:eastAsia="楷体"/>
                <w:kern w:val="0"/>
                <w:sz w:val="24"/>
                <w:szCs w:val="24"/>
              </w:rPr>
            </w:pPr>
            <w:r>
              <w:rPr>
                <w:rFonts w:eastAsia="楷体"/>
                <w:sz w:val="24"/>
              </w:rPr>
              <w:t>广西壮族自治区教育厅</w:t>
            </w:r>
          </w:p>
        </w:tc>
        <w:tc>
          <w:tcPr>
            <w:tcW w:w="606" w:type="pct"/>
            <w:gridSpan w:val="2"/>
            <w:shd w:val="clear" w:color="auto" w:fill="auto"/>
            <w:vAlign w:val="center"/>
          </w:tcPr>
          <w:p>
            <w:pPr>
              <w:spacing w:line="400" w:lineRule="exact"/>
              <w:jc w:val="center"/>
              <w:rPr>
                <w:rFonts w:eastAsia="楷体"/>
                <w:b/>
                <w:kern w:val="0"/>
                <w:sz w:val="24"/>
                <w:szCs w:val="24"/>
              </w:rPr>
            </w:pPr>
            <w:r>
              <w:rPr>
                <w:rFonts w:eastAsia="楷体"/>
                <w:b/>
                <w:kern w:val="0"/>
                <w:sz w:val="24"/>
                <w:szCs w:val="24"/>
              </w:rPr>
              <w:t>提名等级</w:t>
            </w:r>
          </w:p>
        </w:tc>
        <w:tc>
          <w:tcPr>
            <w:tcW w:w="1393" w:type="pct"/>
            <w:gridSpan w:val="3"/>
            <w:shd w:val="clear" w:color="auto" w:fill="auto"/>
            <w:vAlign w:val="center"/>
          </w:tcPr>
          <w:p>
            <w:pPr>
              <w:spacing w:line="360" w:lineRule="exact"/>
              <w:jc w:val="center"/>
              <w:rPr>
                <w:rFonts w:eastAsia="楷体"/>
                <w:kern w:val="0"/>
                <w:sz w:val="24"/>
                <w:szCs w:val="24"/>
              </w:rPr>
            </w:pPr>
            <w:r>
              <w:rPr>
                <w:rFonts w:eastAsia="楷体"/>
                <w:kern w:val="0"/>
                <w:sz w:val="24"/>
                <w:szCs w:val="24"/>
              </w:rPr>
              <w:t>一等奖、二等奖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797" w:type="pct"/>
            <w:gridSpan w:val="4"/>
            <w:shd w:val="clear" w:color="auto" w:fill="auto"/>
            <w:vAlign w:val="center"/>
          </w:tcPr>
          <w:p>
            <w:pPr>
              <w:spacing w:line="360" w:lineRule="exact"/>
              <w:jc w:val="center"/>
              <w:rPr>
                <w:rFonts w:eastAsia="楷体"/>
                <w:b/>
                <w:kern w:val="0"/>
                <w:sz w:val="24"/>
                <w:szCs w:val="24"/>
              </w:rPr>
            </w:pPr>
            <w:r>
              <w:rPr>
                <w:rFonts w:eastAsia="楷体"/>
                <w:b/>
                <w:kern w:val="0"/>
                <w:sz w:val="24"/>
                <w:szCs w:val="24"/>
              </w:rPr>
              <w:t>候选个人</w:t>
            </w:r>
          </w:p>
        </w:tc>
        <w:tc>
          <w:tcPr>
            <w:tcW w:w="4203" w:type="pct"/>
            <w:gridSpan w:val="10"/>
            <w:shd w:val="clear" w:color="auto" w:fill="auto"/>
            <w:vAlign w:val="center"/>
          </w:tcPr>
          <w:p>
            <w:pPr>
              <w:spacing w:line="360" w:lineRule="exact"/>
              <w:jc w:val="center"/>
              <w:rPr>
                <w:rFonts w:eastAsia="楷体"/>
                <w:kern w:val="0"/>
                <w:sz w:val="21"/>
                <w:szCs w:val="21"/>
              </w:rPr>
            </w:pPr>
            <w:r>
              <w:rPr>
                <w:rFonts w:hint="eastAsia" w:eastAsia="楷体"/>
                <w:kern w:val="0"/>
                <w:sz w:val="21"/>
                <w:szCs w:val="21"/>
              </w:rPr>
              <w:t>曾鸿鹄,何小松,李海翔,梁延鹏,覃礼堂,冯兴会,曹长春,朱宗强,陆燕勤,徐勤学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797" w:type="pct"/>
            <w:gridSpan w:val="4"/>
            <w:shd w:val="clear" w:color="auto" w:fill="auto"/>
            <w:vAlign w:val="center"/>
          </w:tcPr>
          <w:p>
            <w:pPr>
              <w:spacing w:line="360" w:lineRule="exact"/>
              <w:jc w:val="center"/>
              <w:rPr>
                <w:rFonts w:eastAsia="楷体"/>
                <w:b/>
                <w:kern w:val="0"/>
                <w:sz w:val="24"/>
                <w:szCs w:val="24"/>
              </w:rPr>
            </w:pPr>
            <w:r>
              <w:rPr>
                <w:rFonts w:eastAsia="楷体"/>
                <w:b/>
                <w:kern w:val="0"/>
                <w:sz w:val="24"/>
                <w:szCs w:val="24"/>
              </w:rPr>
              <w:t>候选组织</w:t>
            </w:r>
          </w:p>
        </w:tc>
        <w:tc>
          <w:tcPr>
            <w:tcW w:w="4203" w:type="pct"/>
            <w:gridSpan w:val="10"/>
            <w:shd w:val="clear" w:color="auto" w:fill="auto"/>
            <w:vAlign w:val="center"/>
          </w:tcPr>
          <w:p>
            <w:pPr>
              <w:spacing w:line="360" w:lineRule="exact"/>
              <w:jc w:val="center"/>
              <w:rPr>
                <w:rFonts w:eastAsia="楷体"/>
                <w:bCs/>
                <w:color w:val="000000"/>
                <w:kern w:val="0"/>
                <w:sz w:val="24"/>
                <w:szCs w:val="24"/>
                <w:lang w:bidi="ar"/>
              </w:rPr>
            </w:pPr>
            <w:r>
              <w:rPr>
                <w:rFonts w:hint="eastAsia" w:eastAsia="楷体"/>
                <w:kern w:val="0"/>
                <w:sz w:val="21"/>
                <w:szCs w:val="21"/>
              </w:rPr>
              <w:t>桂林理工大学,中国环境科学研究院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51" w:hRule="atLeast"/>
          <w:jc w:val="center"/>
        </w:trPr>
        <w:tc>
          <w:tcPr>
            <w:tcW w:w="389" w:type="pct"/>
            <w:gridSpan w:val="2"/>
            <w:shd w:val="clear" w:color="auto" w:fill="auto"/>
            <w:vAlign w:val="center"/>
          </w:tcPr>
          <w:p>
            <w:pPr>
              <w:spacing w:line="400" w:lineRule="exact"/>
              <w:jc w:val="center"/>
              <w:rPr>
                <w:rFonts w:eastAsia="楷体"/>
                <w:b/>
                <w:kern w:val="0"/>
                <w:sz w:val="24"/>
                <w:szCs w:val="24"/>
              </w:rPr>
            </w:pPr>
            <w:r>
              <w:rPr>
                <w:rFonts w:eastAsia="楷体"/>
                <w:b/>
                <w:kern w:val="0"/>
                <w:sz w:val="24"/>
                <w:szCs w:val="24"/>
              </w:rPr>
              <w:t>项目简介</w:t>
            </w:r>
          </w:p>
        </w:tc>
        <w:tc>
          <w:tcPr>
            <w:tcW w:w="4611" w:type="pct"/>
            <w:gridSpan w:val="12"/>
            <w:shd w:val="clear" w:color="auto" w:fill="auto"/>
            <w:vAlign w:val="center"/>
          </w:tcPr>
          <w:p>
            <w:pPr>
              <w:spacing w:line="240" w:lineRule="auto"/>
              <w:ind w:firstLine="482"/>
              <w:rPr>
                <w:rFonts w:eastAsia="楷体"/>
                <w:kern w:val="0"/>
                <w:sz w:val="24"/>
                <w:szCs w:val="24"/>
              </w:rPr>
            </w:pPr>
            <w:r>
              <w:rPr>
                <w:rFonts w:eastAsia="楷体"/>
                <w:kern w:val="0"/>
                <w:sz w:val="24"/>
                <w:szCs w:val="24"/>
              </w:rPr>
              <w:t>本项目针对岩溶区农业生态脆弱、用水风险多样化及关键技术参数设定模糊造成的面源性氮磷失衡、流域性水</w:t>
            </w:r>
            <w:bookmarkStart w:id="0" w:name="_GoBack"/>
            <w:bookmarkEnd w:id="0"/>
            <w:r>
              <w:rPr>
                <w:rFonts w:eastAsia="楷体"/>
                <w:kern w:val="0"/>
                <w:sz w:val="24"/>
                <w:szCs w:val="24"/>
              </w:rPr>
              <w:t>质恶化等环境问题，围绕农业生态系统污染防控开展调查、科学实验、技术开发及团体标准制定等工作。主要研究技术如下：</w:t>
            </w:r>
          </w:p>
          <w:p>
            <w:pPr>
              <w:spacing w:line="240" w:lineRule="auto"/>
              <w:rPr>
                <w:rFonts w:eastAsia="楷体"/>
                <w:b/>
                <w:kern w:val="0"/>
                <w:sz w:val="24"/>
                <w:szCs w:val="24"/>
              </w:rPr>
            </w:pPr>
            <w:r>
              <w:rPr>
                <w:rFonts w:eastAsia="楷体"/>
                <w:b/>
                <w:kern w:val="0"/>
                <w:sz w:val="24"/>
                <w:szCs w:val="24"/>
              </w:rPr>
              <w:t>技术一：岩溶地区农业用水风险分类识别与评价技术</w:t>
            </w:r>
          </w:p>
          <w:p>
            <w:pPr>
              <w:spacing w:line="240" w:lineRule="auto"/>
              <w:ind w:firstLine="482"/>
              <w:rPr>
                <w:rFonts w:eastAsia="楷体"/>
                <w:kern w:val="0"/>
                <w:sz w:val="24"/>
                <w:szCs w:val="24"/>
              </w:rPr>
            </w:pPr>
            <w:r>
              <w:rPr>
                <w:rFonts w:eastAsia="楷体"/>
                <w:kern w:val="0"/>
                <w:sz w:val="24"/>
                <w:szCs w:val="24"/>
              </w:rPr>
              <w:t>（1）识别岩溶区农村分散式生活污水无组织无处理汇集再排至农业系统引起的水体黑臭、富营养化问题，识别农业用水风险。</w:t>
            </w:r>
          </w:p>
          <w:p>
            <w:pPr>
              <w:spacing w:line="240" w:lineRule="auto"/>
              <w:ind w:firstLine="482"/>
              <w:rPr>
                <w:rFonts w:eastAsia="楷体"/>
                <w:kern w:val="0"/>
                <w:sz w:val="24"/>
                <w:szCs w:val="24"/>
              </w:rPr>
            </w:pPr>
            <w:r>
              <w:rPr>
                <w:rFonts w:eastAsia="楷体"/>
                <w:kern w:val="0"/>
                <w:sz w:val="24"/>
                <w:szCs w:val="24"/>
              </w:rPr>
              <w:t>（2）针对岩溶区农业水体中有机磷、有机氯等高风险农药的归趋及潜在生态风险进行实地评估，形成系列归趋及预测模型。</w:t>
            </w:r>
          </w:p>
          <w:p>
            <w:pPr>
              <w:spacing w:line="240" w:lineRule="auto"/>
              <w:ind w:firstLine="482"/>
              <w:rPr>
                <w:rFonts w:eastAsia="楷体"/>
                <w:kern w:val="0"/>
                <w:sz w:val="24"/>
                <w:szCs w:val="24"/>
              </w:rPr>
            </w:pPr>
            <w:r>
              <w:rPr>
                <w:rFonts w:eastAsia="楷体"/>
                <w:kern w:val="0"/>
                <w:sz w:val="24"/>
                <w:szCs w:val="24"/>
              </w:rPr>
              <w:t>（3）针对岩溶区地表水地下水转化频繁，“来得快，去得快”的特性，评估农业生产干旱缺水风险。</w:t>
            </w:r>
          </w:p>
          <w:p>
            <w:pPr>
              <w:spacing w:line="240" w:lineRule="auto"/>
              <w:rPr>
                <w:rFonts w:eastAsia="楷体"/>
                <w:b/>
                <w:kern w:val="0"/>
                <w:sz w:val="24"/>
                <w:szCs w:val="24"/>
              </w:rPr>
            </w:pPr>
            <w:r>
              <w:rPr>
                <w:rFonts w:eastAsia="楷体"/>
                <w:b/>
                <w:kern w:val="0"/>
                <w:sz w:val="24"/>
                <w:szCs w:val="24"/>
              </w:rPr>
              <w:t>技术二：岩溶地区农业水土流失与污染防控技术</w:t>
            </w:r>
          </w:p>
          <w:p>
            <w:pPr>
              <w:spacing w:line="240" w:lineRule="auto"/>
              <w:ind w:firstLine="482"/>
              <w:rPr>
                <w:rFonts w:eastAsia="楷体"/>
                <w:kern w:val="0"/>
                <w:sz w:val="24"/>
                <w:szCs w:val="24"/>
              </w:rPr>
            </w:pPr>
            <w:r>
              <w:rPr>
                <w:rFonts w:eastAsia="楷体"/>
                <w:kern w:val="0"/>
                <w:sz w:val="24"/>
                <w:szCs w:val="24"/>
              </w:rPr>
              <w:t>（1）明确了岩溶地区水文与氮素流失过程在时间上的关系以及不同产流路径的差异性，结合降雨及与产流的关系，准确估算了漓江流域氮磷污染排放负荷。</w:t>
            </w:r>
          </w:p>
          <w:p>
            <w:pPr>
              <w:spacing w:line="240" w:lineRule="auto"/>
              <w:ind w:firstLine="482"/>
              <w:rPr>
                <w:rFonts w:eastAsia="楷体"/>
                <w:kern w:val="0"/>
                <w:sz w:val="24"/>
                <w:szCs w:val="24"/>
              </w:rPr>
            </w:pPr>
            <w:r>
              <w:rPr>
                <w:rFonts w:eastAsia="楷体"/>
                <w:kern w:val="0"/>
                <w:sz w:val="24"/>
                <w:szCs w:val="24"/>
              </w:rPr>
              <w:t>（2）基于本底调查监测及点面源耦合模型的精细测算，解析区域水污染负荷、环境容量等基本参数，识别出不同的污染源在不同时段的贡献比。</w:t>
            </w:r>
          </w:p>
          <w:p>
            <w:pPr>
              <w:spacing w:line="240" w:lineRule="auto"/>
              <w:ind w:firstLine="482"/>
              <w:rPr>
                <w:rFonts w:eastAsia="楷体"/>
                <w:kern w:val="0"/>
                <w:sz w:val="24"/>
                <w:szCs w:val="24"/>
              </w:rPr>
            </w:pPr>
            <w:r>
              <w:rPr>
                <w:rFonts w:eastAsia="楷体"/>
                <w:kern w:val="0"/>
                <w:sz w:val="24"/>
                <w:szCs w:val="24"/>
              </w:rPr>
              <w:t>（3）针对岩溶地区水土流失特征，研究对径流、泥沙及污染物流失控制的植物篱技术，利用植物和土壤的相互作用进行污染阻控。</w:t>
            </w:r>
          </w:p>
          <w:p>
            <w:pPr>
              <w:spacing w:line="240" w:lineRule="auto"/>
              <w:rPr>
                <w:rFonts w:eastAsia="楷体"/>
                <w:b/>
                <w:kern w:val="0"/>
                <w:sz w:val="24"/>
                <w:szCs w:val="24"/>
              </w:rPr>
            </w:pPr>
            <w:r>
              <w:rPr>
                <w:rFonts w:eastAsia="楷体"/>
                <w:b/>
                <w:kern w:val="0"/>
                <w:sz w:val="24"/>
                <w:szCs w:val="24"/>
              </w:rPr>
              <w:t>技术三：岩溶地区农业系统（湿地、耕作区、沟渠等）氮磷回用技术</w:t>
            </w:r>
          </w:p>
          <w:p>
            <w:pPr>
              <w:spacing w:line="240" w:lineRule="auto"/>
              <w:ind w:firstLine="482"/>
              <w:rPr>
                <w:rFonts w:eastAsia="楷体"/>
                <w:kern w:val="0"/>
                <w:sz w:val="24"/>
                <w:szCs w:val="24"/>
              </w:rPr>
            </w:pPr>
            <w:r>
              <w:rPr>
                <w:rFonts w:eastAsia="楷体"/>
                <w:kern w:val="0"/>
                <w:sz w:val="24"/>
                <w:szCs w:val="24"/>
              </w:rPr>
              <w:t>（1）针对岩溶区农业水体中营养元素失衡导致富营养化问题。采取以点控面策略，基于填料式生物转盘构建氮素生物转化-循环利用设施。</w:t>
            </w:r>
          </w:p>
          <w:p>
            <w:pPr>
              <w:spacing w:line="240" w:lineRule="auto"/>
              <w:ind w:firstLine="482"/>
              <w:rPr>
                <w:rFonts w:eastAsia="楷体"/>
                <w:kern w:val="0"/>
                <w:sz w:val="24"/>
                <w:szCs w:val="24"/>
              </w:rPr>
            </w:pPr>
            <w:r>
              <w:rPr>
                <w:rFonts w:eastAsia="楷体"/>
                <w:kern w:val="0"/>
                <w:sz w:val="24"/>
                <w:szCs w:val="24"/>
              </w:rPr>
              <w:t>（2）针对吸附材料的吸附性能及再生性能不足以应对高负荷高强度的氮磷负荷；采用植物基原料，优化氮磷吸附材料的制备生态安全与可持续性。</w:t>
            </w:r>
          </w:p>
          <w:p>
            <w:pPr>
              <w:spacing w:line="240" w:lineRule="auto"/>
              <w:ind w:firstLine="482"/>
              <w:rPr>
                <w:rFonts w:eastAsia="楷体"/>
                <w:kern w:val="0"/>
                <w:sz w:val="24"/>
                <w:szCs w:val="24"/>
              </w:rPr>
            </w:pPr>
            <w:r>
              <w:rPr>
                <w:rFonts w:eastAsia="楷体"/>
                <w:kern w:val="0"/>
                <w:sz w:val="24"/>
                <w:szCs w:val="24"/>
              </w:rPr>
              <w:t>（3）建立农业系统污染源清单，健全农业水体安全防控体系，重点盯防农用及农艺措施导致流域性污染及富营养化。</w:t>
            </w:r>
          </w:p>
          <w:p>
            <w:pPr>
              <w:spacing w:line="240" w:lineRule="auto"/>
              <w:rPr>
                <w:rFonts w:eastAsia="楷体"/>
                <w:b/>
                <w:kern w:val="0"/>
                <w:sz w:val="24"/>
                <w:szCs w:val="24"/>
              </w:rPr>
            </w:pPr>
            <w:r>
              <w:rPr>
                <w:rFonts w:eastAsia="楷体"/>
                <w:b/>
                <w:kern w:val="0"/>
                <w:sz w:val="24"/>
                <w:szCs w:val="24"/>
              </w:rPr>
              <w:t>技术四：岩溶地区农业水资源优化配置策略</w:t>
            </w:r>
          </w:p>
          <w:p>
            <w:pPr>
              <w:spacing w:line="240" w:lineRule="auto"/>
              <w:ind w:firstLine="482"/>
              <w:rPr>
                <w:rFonts w:eastAsia="楷体"/>
                <w:kern w:val="0"/>
                <w:sz w:val="24"/>
                <w:szCs w:val="24"/>
              </w:rPr>
            </w:pPr>
            <w:r>
              <w:rPr>
                <w:rFonts w:eastAsia="楷体"/>
                <w:kern w:val="0"/>
                <w:sz w:val="24"/>
                <w:szCs w:val="24"/>
              </w:rPr>
              <w:t>（1）采用人工湿地，强化生活污水无害化再利用。</w:t>
            </w:r>
          </w:p>
          <w:p>
            <w:pPr>
              <w:spacing w:line="240" w:lineRule="auto"/>
              <w:ind w:firstLine="482"/>
              <w:rPr>
                <w:rFonts w:eastAsia="楷体"/>
                <w:kern w:val="0"/>
                <w:sz w:val="24"/>
                <w:szCs w:val="24"/>
              </w:rPr>
            </w:pPr>
            <w:r>
              <w:rPr>
                <w:rFonts w:eastAsia="楷体"/>
                <w:kern w:val="0"/>
                <w:sz w:val="24"/>
                <w:szCs w:val="24"/>
              </w:rPr>
              <w:t>（2）岩溶区村落分布不集中使得饮用水开发方式呈多点分散型；遵循安全利用的准则，构建农村分散式供水系统安全使用指南。</w:t>
            </w:r>
          </w:p>
          <w:p>
            <w:pPr>
              <w:spacing w:line="240" w:lineRule="auto"/>
              <w:ind w:firstLine="482"/>
              <w:rPr>
                <w:rFonts w:eastAsia="楷体"/>
                <w:b/>
                <w:kern w:val="0"/>
                <w:szCs w:val="24"/>
              </w:rPr>
            </w:pPr>
            <w:r>
              <w:rPr>
                <w:rFonts w:eastAsia="楷体"/>
                <w:kern w:val="0"/>
                <w:sz w:val="24"/>
                <w:szCs w:val="24"/>
              </w:rPr>
              <w:t>（3）根据水环境承载力的本底解析成果，针对性研发种植业源头减量和过程阻断技术、乡村生活污水生物-生态净化与资源化利用技术，实现乡村水系点面源污染产-输-排全过程的精准治理。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5000" w:type="pct"/>
            <w:gridSpan w:val="14"/>
            <w:shd w:val="clear" w:color="auto" w:fill="auto"/>
            <w:vAlign w:val="center"/>
          </w:tcPr>
          <w:p>
            <w:pPr>
              <w:spacing w:line="400" w:lineRule="exact"/>
              <w:jc w:val="center"/>
              <w:rPr>
                <w:rFonts w:eastAsia="楷体"/>
                <w:b/>
                <w:kern w:val="0"/>
                <w:sz w:val="24"/>
                <w:szCs w:val="24"/>
              </w:rPr>
            </w:pPr>
            <w:r>
              <w:rPr>
                <w:rFonts w:eastAsia="楷体"/>
                <w:b/>
                <w:kern w:val="0"/>
                <w:sz w:val="24"/>
                <w:szCs w:val="24"/>
              </w:rPr>
              <w:t>主要知识产权和标准规范等目录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117" w:type="pct"/>
            <w:shd w:val="clear" w:color="auto" w:fill="auto"/>
            <w:vAlign w:val="center"/>
          </w:tcPr>
          <w:p>
            <w:pPr>
              <w:spacing w:line="240" w:lineRule="exact"/>
              <w:jc w:val="center"/>
              <w:rPr>
                <w:rFonts w:eastAsia="楷体"/>
                <w:b/>
                <w:kern w:val="0"/>
                <w:sz w:val="18"/>
                <w:szCs w:val="18"/>
              </w:rPr>
            </w:pPr>
            <w:r>
              <w:rPr>
                <w:rFonts w:eastAsia="楷体"/>
                <w:b/>
                <w:kern w:val="0"/>
                <w:sz w:val="18"/>
                <w:szCs w:val="18"/>
              </w:rPr>
              <w:t>序号</w:t>
            </w:r>
          </w:p>
        </w:tc>
        <w:tc>
          <w:tcPr>
            <w:tcW w:w="395" w:type="pct"/>
            <w:gridSpan w:val="2"/>
            <w:shd w:val="clear" w:color="auto" w:fill="auto"/>
            <w:vAlign w:val="center"/>
          </w:tcPr>
          <w:p>
            <w:pPr>
              <w:spacing w:line="240" w:lineRule="exact"/>
              <w:jc w:val="center"/>
              <w:rPr>
                <w:rFonts w:eastAsia="楷体"/>
                <w:b/>
                <w:kern w:val="0"/>
                <w:sz w:val="18"/>
                <w:szCs w:val="18"/>
              </w:rPr>
            </w:pPr>
            <w:r>
              <w:rPr>
                <w:rFonts w:eastAsia="楷体"/>
                <w:b/>
                <w:kern w:val="0"/>
                <w:sz w:val="18"/>
                <w:szCs w:val="18"/>
              </w:rPr>
              <w:t>知识产权</w:t>
            </w:r>
          </w:p>
          <w:p>
            <w:pPr>
              <w:spacing w:line="240" w:lineRule="exact"/>
              <w:jc w:val="center"/>
              <w:rPr>
                <w:rFonts w:eastAsia="楷体"/>
                <w:b/>
                <w:kern w:val="0"/>
                <w:sz w:val="18"/>
                <w:szCs w:val="18"/>
              </w:rPr>
            </w:pPr>
            <w:r>
              <w:rPr>
                <w:rFonts w:eastAsia="楷体"/>
                <w:b/>
                <w:kern w:val="0"/>
                <w:sz w:val="18"/>
                <w:szCs w:val="18"/>
              </w:rPr>
              <w:t>（标准）类别</w:t>
            </w:r>
          </w:p>
        </w:tc>
        <w:tc>
          <w:tcPr>
            <w:tcW w:w="588" w:type="pct"/>
            <w:gridSpan w:val="2"/>
            <w:shd w:val="clear" w:color="auto" w:fill="auto"/>
            <w:vAlign w:val="center"/>
          </w:tcPr>
          <w:p>
            <w:pPr>
              <w:spacing w:line="240" w:lineRule="exact"/>
              <w:jc w:val="center"/>
              <w:rPr>
                <w:rFonts w:eastAsia="楷体"/>
                <w:b/>
                <w:kern w:val="0"/>
                <w:sz w:val="18"/>
                <w:szCs w:val="18"/>
              </w:rPr>
            </w:pPr>
            <w:r>
              <w:rPr>
                <w:rFonts w:eastAsia="楷体"/>
                <w:b/>
                <w:kern w:val="0"/>
                <w:sz w:val="18"/>
                <w:szCs w:val="18"/>
              </w:rPr>
              <w:t>知识产权（标准）</w:t>
            </w:r>
          </w:p>
          <w:p>
            <w:pPr>
              <w:spacing w:line="240" w:lineRule="exact"/>
              <w:jc w:val="center"/>
              <w:rPr>
                <w:rFonts w:eastAsia="楷体"/>
                <w:b/>
                <w:kern w:val="0"/>
                <w:sz w:val="18"/>
                <w:szCs w:val="18"/>
              </w:rPr>
            </w:pPr>
            <w:r>
              <w:rPr>
                <w:rFonts w:eastAsia="楷体"/>
                <w:b/>
                <w:kern w:val="0"/>
                <w:sz w:val="18"/>
                <w:szCs w:val="18"/>
              </w:rPr>
              <w:t>具体名称</w:t>
            </w:r>
          </w:p>
        </w:tc>
        <w:tc>
          <w:tcPr>
            <w:tcW w:w="223" w:type="pct"/>
            <w:shd w:val="clear" w:color="auto" w:fill="auto"/>
            <w:vAlign w:val="center"/>
          </w:tcPr>
          <w:p>
            <w:pPr>
              <w:spacing w:line="240" w:lineRule="exact"/>
              <w:jc w:val="center"/>
              <w:rPr>
                <w:rFonts w:eastAsia="楷体"/>
                <w:b/>
                <w:kern w:val="0"/>
                <w:sz w:val="18"/>
                <w:szCs w:val="18"/>
              </w:rPr>
            </w:pPr>
            <w:r>
              <w:rPr>
                <w:rFonts w:eastAsia="楷体"/>
                <w:b/>
                <w:kern w:val="0"/>
                <w:sz w:val="18"/>
                <w:szCs w:val="18"/>
              </w:rPr>
              <w:t>国家</w:t>
            </w:r>
          </w:p>
          <w:p>
            <w:pPr>
              <w:spacing w:line="240" w:lineRule="exact"/>
              <w:jc w:val="center"/>
              <w:rPr>
                <w:rFonts w:eastAsia="楷体"/>
                <w:b/>
                <w:kern w:val="0"/>
                <w:sz w:val="18"/>
                <w:szCs w:val="18"/>
              </w:rPr>
            </w:pPr>
            <w:r>
              <w:rPr>
                <w:rFonts w:eastAsia="楷体"/>
                <w:b/>
                <w:kern w:val="0"/>
                <w:sz w:val="18"/>
                <w:szCs w:val="18"/>
              </w:rPr>
              <w:t>（地区）</w:t>
            </w:r>
          </w:p>
        </w:tc>
        <w:tc>
          <w:tcPr>
            <w:tcW w:w="1003" w:type="pct"/>
            <w:shd w:val="clear" w:color="auto" w:fill="auto"/>
            <w:vAlign w:val="center"/>
          </w:tcPr>
          <w:p>
            <w:pPr>
              <w:spacing w:line="240" w:lineRule="exact"/>
              <w:jc w:val="center"/>
              <w:rPr>
                <w:rFonts w:eastAsia="楷体"/>
                <w:b/>
                <w:kern w:val="0"/>
                <w:sz w:val="18"/>
                <w:szCs w:val="18"/>
              </w:rPr>
            </w:pPr>
            <w:r>
              <w:rPr>
                <w:rFonts w:eastAsia="楷体"/>
                <w:b/>
                <w:kern w:val="0"/>
                <w:sz w:val="18"/>
                <w:szCs w:val="18"/>
              </w:rPr>
              <w:t>授权号</w:t>
            </w:r>
          </w:p>
          <w:p>
            <w:pPr>
              <w:spacing w:line="240" w:lineRule="exact"/>
              <w:jc w:val="center"/>
              <w:rPr>
                <w:rFonts w:eastAsia="楷体"/>
                <w:b/>
                <w:kern w:val="0"/>
                <w:sz w:val="18"/>
                <w:szCs w:val="18"/>
              </w:rPr>
            </w:pPr>
            <w:r>
              <w:rPr>
                <w:rFonts w:eastAsia="楷体"/>
                <w:b/>
                <w:kern w:val="0"/>
                <w:sz w:val="18"/>
                <w:szCs w:val="18"/>
              </w:rPr>
              <w:t>（标准编号）</w:t>
            </w:r>
          </w:p>
        </w:tc>
        <w:tc>
          <w:tcPr>
            <w:tcW w:w="574" w:type="pct"/>
            <w:shd w:val="clear" w:color="auto" w:fill="auto"/>
            <w:vAlign w:val="center"/>
          </w:tcPr>
          <w:p>
            <w:pPr>
              <w:spacing w:line="240" w:lineRule="exact"/>
              <w:jc w:val="center"/>
              <w:rPr>
                <w:rFonts w:eastAsia="楷体"/>
                <w:b/>
                <w:kern w:val="0"/>
                <w:sz w:val="18"/>
                <w:szCs w:val="18"/>
              </w:rPr>
            </w:pPr>
            <w:r>
              <w:rPr>
                <w:rFonts w:eastAsia="楷体"/>
                <w:b/>
                <w:kern w:val="0"/>
                <w:sz w:val="18"/>
                <w:szCs w:val="18"/>
              </w:rPr>
              <w:t>授权（标准发布）日期</w:t>
            </w:r>
          </w:p>
        </w:tc>
        <w:tc>
          <w:tcPr>
            <w:tcW w:w="637" w:type="pct"/>
            <w:gridSpan w:val="2"/>
            <w:shd w:val="clear" w:color="auto" w:fill="auto"/>
            <w:vAlign w:val="center"/>
          </w:tcPr>
          <w:p>
            <w:pPr>
              <w:spacing w:line="240" w:lineRule="exact"/>
              <w:jc w:val="center"/>
              <w:rPr>
                <w:rFonts w:eastAsia="楷体"/>
                <w:b/>
                <w:kern w:val="0"/>
                <w:sz w:val="18"/>
                <w:szCs w:val="18"/>
              </w:rPr>
            </w:pPr>
            <w:r>
              <w:rPr>
                <w:rFonts w:eastAsia="楷体"/>
                <w:b/>
                <w:kern w:val="0"/>
                <w:sz w:val="18"/>
                <w:szCs w:val="18"/>
              </w:rPr>
              <w:t>证书编号</w:t>
            </w:r>
          </w:p>
          <w:p>
            <w:pPr>
              <w:spacing w:line="240" w:lineRule="exact"/>
              <w:jc w:val="center"/>
              <w:rPr>
                <w:rFonts w:eastAsia="楷体"/>
                <w:b/>
                <w:kern w:val="0"/>
                <w:sz w:val="18"/>
                <w:szCs w:val="18"/>
              </w:rPr>
            </w:pPr>
            <w:r>
              <w:rPr>
                <w:rFonts w:eastAsia="楷体"/>
                <w:b/>
                <w:kern w:val="0"/>
                <w:sz w:val="18"/>
                <w:szCs w:val="18"/>
              </w:rPr>
              <w:t>（标准批准发布部门）</w:t>
            </w:r>
          </w:p>
        </w:tc>
        <w:tc>
          <w:tcPr>
            <w:tcW w:w="469" w:type="pct"/>
            <w:gridSpan w:val="2"/>
            <w:shd w:val="clear" w:color="auto" w:fill="auto"/>
            <w:vAlign w:val="center"/>
          </w:tcPr>
          <w:p>
            <w:pPr>
              <w:spacing w:line="240" w:lineRule="exact"/>
              <w:jc w:val="center"/>
              <w:rPr>
                <w:rFonts w:eastAsia="楷体"/>
                <w:b/>
                <w:kern w:val="0"/>
                <w:sz w:val="18"/>
                <w:szCs w:val="18"/>
              </w:rPr>
            </w:pPr>
            <w:r>
              <w:rPr>
                <w:rFonts w:eastAsia="楷体"/>
                <w:b/>
                <w:kern w:val="0"/>
                <w:sz w:val="18"/>
                <w:szCs w:val="18"/>
              </w:rPr>
              <w:t>权利人</w:t>
            </w:r>
          </w:p>
          <w:p>
            <w:pPr>
              <w:spacing w:line="240" w:lineRule="exact"/>
              <w:jc w:val="center"/>
              <w:rPr>
                <w:rFonts w:eastAsia="楷体"/>
                <w:b/>
                <w:kern w:val="0"/>
                <w:sz w:val="18"/>
                <w:szCs w:val="18"/>
              </w:rPr>
            </w:pPr>
            <w:r>
              <w:rPr>
                <w:rFonts w:eastAsia="楷体"/>
                <w:b/>
                <w:kern w:val="0"/>
                <w:sz w:val="18"/>
                <w:szCs w:val="18"/>
              </w:rPr>
              <w:t>（标准起草单位）</w:t>
            </w:r>
          </w:p>
        </w:tc>
        <w:tc>
          <w:tcPr>
            <w:tcW w:w="752" w:type="pct"/>
            <w:shd w:val="clear" w:color="auto" w:fill="auto"/>
            <w:vAlign w:val="center"/>
          </w:tcPr>
          <w:p>
            <w:pPr>
              <w:spacing w:line="240" w:lineRule="exact"/>
              <w:jc w:val="center"/>
              <w:rPr>
                <w:rFonts w:eastAsia="楷体"/>
                <w:b/>
                <w:kern w:val="0"/>
                <w:sz w:val="18"/>
                <w:szCs w:val="18"/>
              </w:rPr>
            </w:pPr>
            <w:r>
              <w:rPr>
                <w:rFonts w:eastAsia="楷体"/>
                <w:b/>
                <w:kern w:val="0"/>
                <w:sz w:val="18"/>
                <w:szCs w:val="18"/>
              </w:rPr>
              <w:t>发明人</w:t>
            </w:r>
          </w:p>
          <w:p>
            <w:pPr>
              <w:spacing w:line="240" w:lineRule="exact"/>
              <w:jc w:val="center"/>
              <w:rPr>
                <w:rFonts w:eastAsia="楷体"/>
                <w:b/>
                <w:kern w:val="0"/>
                <w:sz w:val="18"/>
                <w:szCs w:val="18"/>
              </w:rPr>
            </w:pPr>
            <w:r>
              <w:rPr>
                <w:rFonts w:eastAsia="楷体"/>
                <w:b/>
                <w:kern w:val="0"/>
                <w:sz w:val="18"/>
                <w:szCs w:val="18"/>
              </w:rPr>
              <w:t>（标准起草人）</w:t>
            </w:r>
          </w:p>
        </w:tc>
        <w:tc>
          <w:tcPr>
            <w:tcW w:w="242" w:type="pct"/>
            <w:shd w:val="clear" w:color="auto" w:fill="auto"/>
            <w:vAlign w:val="center"/>
          </w:tcPr>
          <w:p>
            <w:pPr>
              <w:spacing w:line="240" w:lineRule="exact"/>
              <w:jc w:val="center"/>
              <w:rPr>
                <w:rFonts w:eastAsia="楷体"/>
                <w:b/>
                <w:kern w:val="0"/>
                <w:sz w:val="18"/>
                <w:szCs w:val="18"/>
              </w:rPr>
            </w:pPr>
            <w:r>
              <w:rPr>
                <w:rFonts w:eastAsia="楷体"/>
                <w:b/>
                <w:kern w:val="0"/>
                <w:sz w:val="18"/>
                <w:szCs w:val="18"/>
              </w:rPr>
              <w:t>发明专利（标准）有效状态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117" w:type="pct"/>
            <w:shd w:val="clear" w:color="auto" w:fill="auto"/>
            <w:vAlign w:val="center"/>
          </w:tcPr>
          <w:p>
            <w:pPr>
              <w:spacing w:line="240" w:lineRule="exact"/>
              <w:jc w:val="center"/>
              <w:rPr>
                <w:rFonts w:eastAsia="楷体"/>
                <w:kern w:val="0"/>
                <w:sz w:val="21"/>
                <w:szCs w:val="21"/>
              </w:rPr>
            </w:pPr>
            <w:r>
              <w:rPr>
                <w:rFonts w:eastAsia="楷体"/>
                <w:kern w:val="0"/>
                <w:sz w:val="21"/>
                <w:szCs w:val="21"/>
              </w:rPr>
              <w:t>1</w:t>
            </w:r>
          </w:p>
        </w:tc>
        <w:tc>
          <w:tcPr>
            <w:tcW w:w="395" w:type="pct"/>
            <w:gridSpan w:val="2"/>
            <w:shd w:val="clear" w:color="auto" w:fill="auto"/>
            <w:vAlign w:val="center"/>
          </w:tcPr>
          <w:p>
            <w:pPr>
              <w:spacing w:line="240" w:lineRule="atLeast"/>
              <w:jc w:val="center"/>
              <w:rPr>
                <w:rFonts w:eastAsia="楷体"/>
                <w:sz w:val="21"/>
                <w:szCs w:val="21"/>
              </w:rPr>
            </w:pPr>
            <w:r>
              <w:rPr>
                <w:rFonts w:eastAsia="楷体"/>
                <w:sz w:val="21"/>
                <w:szCs w:val="21"/>
              </w:rPr>
              <w:t>发明专利</w:t>
            </w:r>
          </w:p>
        </w:tc>
        <w:tc>
          <w:tcPr>
            <w:tcW w:w="588" w:type="pct"/>
            <w:gridSpan w:val="2"/>
            <w:shd w:val="clear" w:color="auto" w:fill="auto"/>
            <w:vAlign w:val="center"/>
          </w:tcPr>
          <w:p>
            <w:pPr>
              <w:spacing w:line="240" w:lineRule="atLeast"/>
              <w:jc w:val="center"/>
              <w:rPr>
                <w:rFonts w:eastAsia="楷体"/>
                <w:sz w:val="21"/>
                <w:szCs w:val="21"/>
              </w:rPr>
            </w:pPr>
            <w:r>
              <w:rPr>
                <w:rFonts w:eastAsia="楷体"/>
                <w:sz w:val="21"/>
                <w:szCs w:val="21"/>
              </w:rPr>
              <w:t>A constructed wetland sewage treatment simulation device in circulating inflow mode</w:t>
            </w:r>
          </w:p>
        </w:tc>
        <w:tc>
          <w:tcPr>
            <w:tcW w:w="223" w:type="pct"/>
            <w:shd w:val="clear" w:color="auto" w:fill="auto"/>
            <w:vAlign w:val="center"/>
          </w:tcPr>
          <w:p>
            <w:pPr>
              <w:spacing w:line="240" w:lineRule="atLeast"/>
              <w:jc w:val="center"/>
              <w:rPr>
                <w:rFonts w:eastAsia="楷体"/>
                <w:sz w:val="21"/>
                <w:szCs w:val="21"/>
              </w:rPr>
            </w:pPr>
            <w:r>
              <w:rPr>
                <w:rFonts w:eastAsia="楷体"/>
                <w:sz w:val="21"/>
                <w:szCs w:val="21"/>
              </w:rPr>
              <w:t>澳大利亚</w:t>
            </w:r>
          </w:p>
        </w:tc>
        <w:tc>
          <w:tcPr>
            <w:tcW w:w="1003" w:type="pct"/>
            <w:shd w:val="clear" w:color="auto" w:fill="auto"/>
            <w:vAlign w:val="center"/>
          </w:tcPr>
          <w:p>
            <w:pPr>
              <w:spacing w:line="240" w:lineRule="atLeast"/>
              <w:jc w:val="center"/>
              <w:rPr>
                <w:rFonts w:eastAsia="楷体"/>
                <w:sz w:val="21"/>
                <w:szCs w:val="21"/>
              </w:rPr>
            </w:pPr>
            <w:r>
              <w:rPr>
                <w:rFonts w:eastAsia="楷体"/>
                <w:sz w:val="21"/>
                <w:szCs w:val="21"/>
              </w:rPr>
              <w:t>2020103867</w:t>
            </w:r>
          </w:p>
        </w:tc>
        <w:tc>
          <w:tcPr>
            <w:tcW w:w="574" w:type="pct"/>
            <w:shd w:val="clear" w:color="auto" w:fill="auto"/>
            <w:vAlign w:val="center"/>
          </w:tcPr>
          <w:p>
            <w:pPr>
              <w:spacing w:line="240" w:lineRule="atLeast"/>
              <w:jc w:val="center"/>
              <w:rPr>
                <w:rFonts w:eastAsia="楷体"/>
                <w:sz w:val="21"/>
                <w:szCs w:val="21"/>
              </w:rPr>
            </w:pPr>
            <w:r>
              <w:rPr>
                <w:rFonts w:eastAsia="楷体"/>
                <w:sz w:val="21"/>
                <w:szCs w:val="21"/>
              </w:rPr>
              <w:t>2020.12.03</w:t>
            </w:r>
          </w:p>
        </w:tc>
        <w:tc>
          <w:tcPr>
            <w:tcW w:w="637" w:type="pct"/>
            <w:gridSpan w:val="2"/>
            <w:shd w:val="clear" w:color="auto" w:fill="auto"/>
            <w:vAlign w:val="center"/>
          </w:tcPr>
          <w:p>
            <w:pPr>
              <w:spacing w:line="240" w:lineRule="atLeast"/>
              <w:jc w:val="center"/>
              <w:rPr>
                <w:rFonts w:eastAsia="楷体"/>
                <w:sz w:val="21"/>
                <w:szCs w:val="21"/>
              </w:rPr>
            </w:pPr>
            <w:r>
              <w:rPr>
                <w:rFonts w:eastAsia="楷体"/>
                <w:sz w:val="21"/>
                <w:szCs w:val="21"/>
              </w:rPr>
              <w:t>2020103867</w:t>
            </w:r>
          </w:p>
        </w:tc>
        <w:tc>
          <w:tcPr>
            <w:tcW w:w="469" w:type="pct"/>
            <w:gridSpan w:val="2"/>
            <w:shd w:val="clear" w:color="auto" w:fill="auto"/>
            <w:vAlign w:val="center"/>
          </w:tcPr>
          <w:p>
            <w:pPr>
              <w:spacing w:line="240" w:lineRule="atLeast"/>
              <w:jc w:val="center"/>
              <w:rPr>
                <w:rFonts w:eastAsia="楷体"/>
                <w:sz w:val="21"/>
                <w:szCs w:val="21"/>
              </w:rPr>
            </w:pPr>
            <w:r>
              <w:rPr>
                <w:rFonts w:eastAsia="楷体"/>
                <w:sz w:val="21"/>
                <w:szCs w:val="21"/>
              </w:rPr>
              <w:t>桂林理工大学</w:t>
            </w:r>
          </w:p>
        </w:tc>
        <w:tc>
          <w:tcPr>
            <w:tcW w:w="752" w:type="pct"/>
            <w:shd w:val="clear" w:color="auto" w:fill="auto"/>
            <w:vAlign w:val="center"/>
          </w:tcPr>
          <w:p>
            <w:pPr>
              <w:spacing w:line="240" w:lineRule="atLeast"/>
              <w:jc w:val="center"/>
              <w:rPr>
                <w:rFonts w:eastAsia="楷体"/>
                <w:sz w:val="21"/>
                <w:szCs w:val="21"/>
              </w:rPr>
            </w:pPr>
            <w:r>
              <w:rPr>
                <w:rFonts w:eastAsia="楷体"/>
                <w:sz w:val="21"/>
                <w:szCs w:val="21"/>
              </w:rPr>
              <w:t>曾鸿鹄、梁延鹏、朱宗强、莫凌云、覃礼堂、吴宗坚</w:t>
            </w:r>
          </w:p>
        </w:tc>
        <w:tc>
          <w:tcPr>
            <w:tcW w:w="242" w:type="pct"/>
            <w:shd w:val="clear" w:color="auto" w:fill="auto"/>
            <w:vAlign w:val="center"/>
          </w:tcPr>
          <w:p>
            <w:pPr>
              <w:spacing w:line="240" w:lineRule="atLeast"/>
              <w:jc w:val="center"/>
              <w:rPr>
                <w:rFonts w:eastAsia="楷体"/>
                <w:sz w:val="21"/>
                <w:szCs w:val="21"/>
              </w:rPr>
            </w:pPr>
            <w:r>
              <w:rPr>
                <w:rFonts w:eastAsia="楷体"/>
                <w:sz w:val="21"/>
                <w:szCs w:val="21"/>
              </w:rPr>
              <w:t>已授权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117" w:type="pct"/>
            <w:shd w:val="clear" w:color="auto" w:fill="auto"/>
            <w:vAlign w:val="center"/>
          </w:tcPr>
          <w:p>
            <w:pPr>
              <w:spacing w:line="240" w:lineRule="exact"/>
              <w:jc w:val="center"/>
              <w:rPr>
                <w:rFonts w:eastAsia="楷体"/>
                <w:kern w:val="0"/>
                <w:sz w:val="21"/>
                <w:szCs w:val="21"/>
              </w:rPr>
            </w:pPr>
            <w:r>
              <w:rPr>
                <w:rFonts w:eastAsia="楷体"/>
                <w:kern w:val="0"/>
                <w:sz w:val="21"/>
                <w:szCs w:val="21"/>
              </w:rPr>
              <w:t>2</w:t>
            </w:r>
          </w:p>
        </w:tc>
        <w:tc>
          <w:tcPr>
            <w:tcW w:w="395" w:type="pct"/>
            <w:gridSpan w:val="2"/>
            <w:shd w:val="clear" w:color="auto" w:fill="auto"/>
            <w:vAlign w:val="center"/>
          </w:tcPr>
          <w:p>
            <w:pPr>
              <w:spacing w:line="240" w:lineRule="atLeast"/>
              <w:jc w:val="center"/>
              <w:rPr>
                <w:rFonts w:eastAsia="楷体"/>
                <w:sz w:val="21"/>
                <w:szCs w:val="21"/>
              </w:rPr>
            </w:pPr>
            <w:r>
              <w:rPr>
                <w:rFonts w:eastAsia="楷体"/>
                <w:sz w:val="21"/>
                <w:szCs w:val="21"/>
              </w:rPr>
              <w:t>发明专利</w:t>
            </w:r>
          </w:p>
        </w:tc>
        <w:tc>
          <w:tcPr>
            <w:tcW w:w="588" w:type="pct"/>
            <w:gridSpan w:val="2"/>
            <w:shd w:val="clear" w:color="auto" w:fill="auto"/>
            <w:vAlign w:val="center"/>
          </w:tcPr>
          <w:p>
            <w:pPr>
              <w:spacing w:line="240" w:lineRule="atLeast"/>
              <w:jc w:val="center"/>
              <w:rPr>
                <w:rFonts w:eastAsia="楷体"/>
                <w:sz w:val="21"/>
                <w:szCs w:val="21"/>
              </w:rPr>
            </w:pPr>
            <w:r>
              <w:rPr>
                <w:rFonts w:eastAsia="楷体"/>
                <w:sz w:val="21"/>
                <w:szCs w:val="21"/>
              </w:rPr>
              <w:t>一种生活污水土地强化处理的配水装置</w:t>
            </w:r>
          </w:p>
        </w:tc>
        <w:tc>
          <w:tcPr>
            <w:tcW w:w="223" w:type="pct"/>
            <w:shd w:val="clear" w:color="auto" w:fill="auto"/>
            <w:vAlign w:val="center"/>
          </w:tcPr>
          <w:p>
            <w:pPr>
              <w:spacing w:line="240" w:lineRule="atLeast"/>
              <w:jc w:val="center"/>
              <w:rPr>
                <w:rFonts w:eastAsia="楷体"/>
                <w:sz w:val="21"/>
                <w:szCs w:val="21"/>
              </w:rPr>
            </w:pPr>
            <w:r>
              <w:rPr>
                <w:rFonts w:eastAsia="楷体"/>
                <w:sz w:val="21"/>
                <w:szCs w:val="21"/>
              </w:rPr>
              <w:t>中国</w:t>
            </w:r>
          </w:p>
        </w:tc>
        <w:tc>
          <w:tcPr>
            <w:tcW w:w="1003" w:type="pct"/>
            <w:shd w:val="clear" w:color="auto" w:fill="auto"/>
            <w:vAlign w:val="center"/>
          </w:tcPr>
          <w:p>
            <w:pPr>
              <w:spacing w:line="240" w:lineRule="atLeast"/>
              <w:jc w:val="center"/>
              <w:rPr>
                <w:rFonts w:eastAsia="楷体"/>
                <w:sz w:val="21"/>
                <w:szCs w:val="21"/>
              </w:rPr>
            </w:pPr>
            <w:r>
              <w:rPr>
                <w:rFonts w:eastAsia="楷体"/>
                <w:sz w:val="21"/>
                <w:szCs w:val="21"/>
              </w:rPr>
              <w:t>ZL201110192411.1</w:t>
            </w:r>
          </w:p>
        </w:tc>
        <w:tc>
          <w:tcPr>
            <w:tcW w:w="574" w:type="pct"/>
            <w:shd w:val="clear" w:color="auto" w:fill="auto"/>
            <w:vAlign w:val="center"/>
          </w:tcPr>
          <w:p>
            <w:pPr>
              <w:spacing w:line="240" w:lineRule="atLeast"/>
              <w:jc w:val="center"/>
              <w:rPr>
                <w:rFonts w:eastAsia="楷体"/>
                <w:sz w:val="21"/>
                <w:szCs w:val="21"/>
              </w:rPr>
            </w:pPr>
            <w:r>
              <w:rPr>
                <w:rFonts w:eastAsia="楷体"/>
                <w:sz w:val="21"/>
                <w:szCs w:val="21"/>
              </w:rPr>
              <w:t>2012.09.05</w:t>
            </w:r>
          </w:p>
        </w:tc>
        <w:tc>
          <w:tcPr>
            <w:tcW w:w="637" w:type="pct"/>
            <w:gridSpan w:val="2"/>
            <w:shd w:val="clear" w:color="auto" w:fill="auto"/>
            <w:vAlign w:val="center"/>
          </w:tcPr>
          <w:p>
            <w:pPr>
              <w:spacing w:line="240" w:lineRule="atLeast"/>
              <w:jc w:val="center"/>
              <w:rPr>
                <w:rFonts w:eastAsia="楷体"/>
                <w:sz w:val="21"/>
                <w:szCs w:val="21"/>
              </w:rPr>
            </w:pPr>
            <w:r>
              <w:rPr>
                <w:rFonts w:eastAsia="楷体"/>
                <w:sz w:val="21"/>
                <w:szCs w:val="21"/>
              </w:rPr>
              <w:t>1037484</w:t>
            </w:r>
          </w:p>
        </w:tc>
        <w:tc>
          <w:tcPr>
            <w:tcW w:w="469" w:type="pct"/>
            <w:gridSpan w:val="2"/>
            <w:shd w:val="clear" w:color="auto" w:fill="auto"/>
            <w:vAlign w:val="center"/>
          </w:tcPr>
          <w:p>
            <w:pPr>
              <w:spacing w:line="240" w:lineRule="atLeast"/>
              <w:jc w:val="center"/>
              <w:rPr>
                <w:rFonts w:eastAsia="楷体"/>
                <w:sz w:val="21"/>
                <w:szCs w:val="21"/>
              </w:rPr>
            </w:pPr>
            <w:r>
              <w:rPr>
                <w:rFonts w:eastAsia="楷体"/>
                <w:sz w:val="21"/>
                <w:szCs w:val="21"/>
              </w:rPr>
              <w:t>桂林理工大学</w:t>
            </w:r>
          </w:p>
        </w:tc>
        <w:tc>
          <w:tcPr>
            <w:tcW w:w="752" w:type="pct"/>
            <w:shd w:val="clear" w:color="auto" w:fill="auto"/>
            <w:vAlign w:val="center"/>
          </w:tcPr>
          <w:p>
            <w:pPr>
              <w:spacing w:line="240" w:lineRule="atLeast"/>
              <w:jc w:val="center"/>
              <w:rPr>
                <w:rFonts w:eastAsia="楷体"/>
                <w:sz w:val="21"/>
                <w:szCs w:val="21"/>
              </w:rPr>
            </w:pPr>
            <w:r>
              <w:rPr>
                <w:rFonts w:eastAsia="楷体"/>
                <w:sz w:val="21"/>
                <w:szCs w:val="21"/>
              </w:rPr>
              <w:t>曹长春、左金星、崔赟璐</w:t>
            </w:r>
          </w:p>
        </w:tc>
        <w:tc>
          <w:tcPr>
            <w:tcW w:w="242" w:type="pct"/>
            <w:shd w:val="clear" w:color="auto" w:fill="auto"/>
            <w:vAlign w:val="center"/>
          </w:tcPr>
          <w:p>
            <w:pPr>
              <w:spacing w:line="240" w:lineRule="atLeast"/>
              <w:jc w:val="center"/>
              <w:rPr>
                <w:rFonts w:eastAsia="楷体"/>
                <w:sz w:val="21"/>
                <w:szCs w:val="21"/>
              </w:rPr>
            </w:pPr>
            <w:r>
              <w:rPr>
                <w:rFonts w:eastAsia="楷体"/>
                <w:sz w:val="21"/>
                <w:szCs w:val="21"/>
              </w:rPr>
              <w:t>已授权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117" w:type="pct"/>
            <w:shd w:val="clear" w:color="auto" w:fill="auto"/>
            <w:vAlign w:val="center"/>
          </w:tcPr>
          <w:p>
            <w:pPr>
              <w:spacing w:line="240" w:lineRule="exact"/>
              <w:jc w:val="center"/>
              <w:rPr>
                <w:rFonts w:eastAsia="楷体"/>
                <w:kern w:val="0"/>
                <w:sz w:val="21"/>
                <w:szCs w:val="21"/>
              </w:rPr>
            </w:pPr>
            <w:r>
              <w:rPr>
                <w:rFonts w:eastAsia="楷体"/>
                <w:kern w:val="0"/>
                <w:sz w:val="21"/>
                <w:szCs w:val="21"/>
              </w:rPr>
              <w:t>3</w:t>
            </w:r>
          </w:p>
        </w:tc>
        <w:tc>
          <w:tcPr>
            <w:tcW w:w="395" w:type="pct"/>
            <w:gridSpan w:val="2"/>
            <w:shd w:val="clear" w:color="auto" w:fill="auto"/>
            <w:vAlign w:val="center"/>
          </w:tcPr>
          <w:p>
            <w:pPr>
              <w:spacing w:line="240" w:lineRule="atLeast"/>
              <w:jc w:val="center"/>
              <w:rPr>
                <w:rFonts w:eastAsia="楷体"/>
                <w:sz w:val="21"/>
                <w:szCs w:val="21"/>
              </w:rPr>
            </w:pPr>
            <w:r>
              <w:rPr>
                <w:rFonts w:eastAsia="楷体"/>
                <w:sz w:val="21"/>
                <w:szCs w:val="21"/>
              </w:rPr>
              <w:t>实用新型</w:t>
            </w:r>
          </w:p>
        </w:tc>
        <w:tc>
          <w:tcPr>
            <w:tcW w:w="588" w:type="pct"/>
            <w:gridSpan w:val="2"/>
            <w:shd w:val="clear" w:color="auto" w:fill="auto"/>
            <w:vAlign w:val="center"/>
          </w:tcPr>
          <w:p>
            <w:pPr>
              <w:spacing w:line="240" w:lineRule="atLeast"/>
              <w:jc w:val="center"/>
              <w:rPr>
                <w:rFonts w:eastAsia="楷体"/>
                <w:sz w:val="21"/>
                <w:szCs w:val="21"/>
              </w:rPr>
            </w:pPr>
            <w:r>
              <w:rPr>
                <w:rFonts w:eastAsia="楷体"/>
                <w:sz w:val="21"/>
                <w:szCs w:val="21"/>
              </w:rPr>
              <w:t>一种生活污水土地强化处理的复氧装置</w:t>
            </w:r>
          </w:p>
        </w:tc>
        <w:tc>
          <w:tcPr>
            <w:tcW w:w="223" w:type="pct"/>
            <w:shd w:val="clear" w:color="auto" w:fill="auto"/>
            <w:vAlign w:val="center"/>
          </w:tcPr>
          <w:p>
            <w:pPr>
              <w:spacing w:line="240" w:lineRule="atLeast"/>
              <w:jc w:val="center"/>
              <w:rPr>
                <w:rFonts w:eastAsia="楷体"/>
                <w:sz w:val="21"/>
                <w:szCs w:val="21"/>
              </w:rPr>
            </w:pPr>
            <w:r>
              <w:rPr>
                <w:rFonts w:eastAsia="楷体"/>
                <w:sz w:val="21"/>
                <w:szCs w:val="21"/>
              </w:rPr>
              <w:t>中国</w:t>
            </w:r>
          </w:p>
        </w:tc>
        <w:tc>
          <w:tcPr>
            <w:tcW w:w="1003" w:type="pct"/>
            <w:shd w:val="clear" w:color="auto" w:fill="auto"/>
            <w:vAlign w:val="center"/>
          </w:tcPr>
          <w:p>
            <w:pPr>
              <w:spacing w:line="240" w:lineRule="atLeast"/>
              <w:jc w:val="center"/>
              <w:rPr>
                <w:rFonts w:eastAsia="楷体"/>
                <w:sz w:val="21"/>
                <w:szCs w:val="21"/>
              </w:rPr>
            </w:pPr>
            <w:r>
              <w:rPr>
                <w:rFonts w:eastAsia="楷体"/>
                <w:sz w:val="21"/>
                <w:szCs w:val="21"/>
              </w:rPr>
              <w:t>ZL201120241811.2</w:t>
            </w:r>
          </w:p>
        </w:tc>
        <w:tc>
          <w:tcPr>
            <w:tcW w:w="574" w:type="pct"/>
            <w:shd w:val="clear" w:color="auto" w:fill="auto"/>
            <w:vAlign w:val="center"/>
          </w:tcPr>
          <w:p>
            <w:pPr>
              <w:spacing w:line="240" w:lineRule="atLeast"/>
              <w:jc w:val="center"/>
              <w:rPr>
                <w:rFonts w:eastAsia="楷体"/>
                <w:sz w:val="21"/>
                <w:szCs w:val="21"/>
              </w:rPr>
            </w:pPr>
            <w:r>
              <w:rPr>
                <w:rFonts w:eastAsia="楷体"/>
                <w:sz w:val="21"/>
                <w:szCs w:val="21"/>
              </w:rPr>
              <w:t>2012.02.01</w:t>
            </w:r>
          </w:p>
        </w:tc>
        <w:tc>
          <w:tcPr>
            <w:tcW w:w="637" w:type="pct"/>
            <w:gridSpan w:val="2"/>
            <w:shd w:val="clear" w:color="auto" w:fill="auto"/>
            <w:vAlign w:val="center"/>
          </w:tcPr>
          <w:p>
            <w:pPr>
              <w:spacing w:line="240" w:lineRule="atLeast"/>
              <w:jc w:val="center"/>
              <w:rPr>
                <w:rFonts w:eastAsia="楷体"/>
                <w:sz w:val="21"/>
                <w:szCs w:val="21"/>
              </w:rPr>
            </w:pPr>
            <w:r>
              <w:rPr>
                <w:rFonts w:eastAsia="楷体"/>
                <w:sz w:val="21"/>
                <w:szCs w:val="21"/>
              </w:rPr>
              <w:t>2089731</w:t>
            </w:r>
          </w:p>
        </w:tc>
        <w:tc>
          <w:tcPr>
            <w:tcW w:w="469" w:type="pct"/>
            <w:gridSpan w:val="2"/>
            <w:shd w:val="clear" w:color="auto" w:fill="auto"/>
            <w:vAlign w:val="center"/>
          </w:tcPr>
          <w:p>
            <w:pPr>
              <w:spacing w:line="240" w:lineRule="atLeast"/>
              <w:jc w:val="center"/>
              <w:rPr>
                <w:rFonts w:eastAsia="楷体"/>
                <w:sz w:val="21"/>
                <w:szCs w:val="21"/>
              </w:rPr>
            </w:pPr>
            <w:r>
              <w:rPr>
                <w:rFonts w:eastAsia="楷体"/>
                <w:sz w:val="21"/>
                <w:szCs w:val="21"/>
              </w:rPr>
              <w:t>桂林理工大学</w:t>
            </w:r>
          </w:p>
        </w:tc>
        <w:tc>
          <w:tcPr>
            <w:tcW w:w="752" w:type="pct"/>
            <w:shd w:val="clear" w:color="auto" w:fill="auto"/>
            <w:vAlign w:val="center"/>
          </w:tcPr>
          <w:p>
            <w:pPr>
              <w:spacing w:line="240" w:lineRule="atLeast"/>
              <w:jc w:val="center"/>
              <w:rPr>
                <w:rFonts w:eastAsia="楷体"/>
                <w:sz w:val="21"/>
                <w:szCs w:val="21"/>
              </w:rPr>
            </w:pPr>
            <w:r>
              <w:rPr>
                <w:rFonts w:eastAsia="楷体"/>
                <w:sz w:val="21"/>
                <w:szCs w:val="21"/>
              </w:rPr>
              <w:t>曹长春、左金星、崔赟璐</w:t>
            </w:r>
          </w:p>
        </w:tc>
        <w:tc>
          <w:tcPr>
            <w:tcW w:w="242" w:type="pct"/>
            <w:shd w:val="clear" w:color="auto" w:fill="auto"/>
            <w:vAlign w:val="center"/>
          </w:tcPr>
          <w:p>
            <w:pPr>
              <w:spacing w:line="240" w:lineRule="atLeast"/>
              <w:jc w:val="center"/>
              <w:rPr>
                <w:rFonts w:eastAsia="楷体"/>
                <w:sz w:val="21"/>
                <w:szCs w:val="21"/>
              </w:rPr>
            </w:pPr>
            <w:r>
              <w:rPr>
                <w:rFonts w:eastAsia="楷体"/>
                <w:sz w:val="21"/>
                <w:szCs w:val="21"/>
              </w:rPr>
              <w:t>已授权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117" w:type="pct"/>
            <w:shd w:val="clear" w:color="auto" w:fill="auto"/>
            <w:vAlign w:val="center"/>
          </w:tcPr>
          <w:p>
            <w:pPr>
              <w:spacing w:line="240" w:lineRule="exact"/>
              <w:jc w:val="center"/>
              <w:rPr>
                <w:rFonts w:eastAsia="楷体"/>
                <w:kern w:val="0"/>
                <w:sz w:val="21"/>
                <w:szCs w:val="21"/>
              </w:rPr>
            </w:pPr>
            <w:r>
              <w:rPr>
                <w:rFonts w:eastAsia="楷体"/>
                <w:kern w:val="0"/>
                <w:sz w:val="21"/>
                <w:szCs w:val="21"/>
              </w:rPr>
              <w:t>4</w:t>
            </w:r>
          </w:p>
        </w:tc>
        <w:tc>
          <w:tcPr>
            <w:tcW w:w="395" w:type="pct"/>
            <w:gridSpan w:val="2"/>
            <w:shd w:val="clear" w:color="auto" w:fill="auto"/>
            <w:vAlign w:val="center"/>
          </w:tcPr>
          <w:p>
            <w:pPr>
              <w:spacing w:line="240" w:lineRule="atLeast"/>
              <w:jc w:val="center"/>
              <w:rPr>
                <w:rFonts w:eastAsia="楷体"/>
                <w:sz w:val="21"/>
                <w:szCs w:val="21"/>
              </w:rPr>
            </w:pPr>
            <w:r>
              <w:rPr>
                <w:rFonts w:eastAsia="楷体"/>
                <w:sz w:val="21"/>
                <w:szCs w:val="21"/>
              </w:rPr>
              <w:t>软件著作权</w:t>
            </w:r>
          </w:p>
        </w:tc>
        <w:tc>
          <w:tcPr>
            <w:tcW w:w="588" w:type="pct"/>
            <w:gridSpan w:val="2"/>
            <w:shd w:val="clear" w:color="auto" w:fill="auto"/>
            <w:vAlign w:val="center"/>
          </w:tcPr>
          <w:p>
            <w:pPr>
              <w:spacing w:line="240" w:lineRule="atLeast"/>
              <w:jc w:val="center"/>
              <w:rPr>
                <w:rFonts w:eastAsia="楷体"/>
                <w:sz w:val="21"/>
                <w:szCs w:val="21"/>
              </w:rPr>
            </w:pPr>
            <w:r>
              <w:rPr>
                <w:rFonts w:eastAsia="楷体"/>
                <w:sz w:val="21"/>
                <w:szCs w:val="21"/>
              </w:rPr>
              <w:t>污染物暴露浓度-效应评估与模拟软件V1.0</w:t>
            </w:r>
          </w:p>
        </w:tc>
        <w:tc>
          <w:tcPr>
            <w:tcW w:w="223" w:type="pct"/>
            <w:shd w:val="clear" w:color="auto" w:fill="auto"/>
            <w:vAlign w:val="center"/>
          </w:tcPr>
          <w:p>
            <w:pPr>
              <w:spacing w:line="240" w:lineRule="atLeast"/>
              <w:jc w:val="center"/>
              <w:rPr>
                <w:rFonts w:eastAsia="楷体"/>
                <w:sz w:val="21"/>
                <w:szCs w:val="21"/>
              </w:rPr>
            </w:pPr>
            <w:r>
              <w:rPr>
                <w:rFonts w:eastAsia="楷体"/>
                <w:sz w:val="21"/>
                <w:szCs w:val="21"/>
              </w:rPr>
              <w:t>中国</w:t>
            </w:r>
          </w:p>
        </w:tc>
        <w:tc>
          <w:tcPr>
            <w:tcW w:w="1003" w:type="pct"/>
            <w:shd w:val="clear" w:color="auto" w:fill="auto"/>
            <w:vAlign w:val="center"/>
          </w:tcPr>
          <w:p>
            <w:pPr>
              <w:adjustRightInd w:val="0"/>
              <w:jc w:val="center"/>
              <w:outlineLvl w:val="1"/>
              <w:rPr>
                <w:rFonts w:eastAsia="楷体"/>
                <w:sz w:val="21"/>
                <w:szCs w:val="21"/>
              </w:rPr>
            </w:pPr>
            <w:r>
              <w:rPr>
                <w:rFonts w:eastAsia="楷体"/>
                <w:sz w:val="21"/>
                <w:szCs w:val="21"/>
              </w:rPr>
              <w:t>2021SR0023446</w:t>
            </w:r>
          </w:p>
        </w:tc>
        <w:tc>
          <w:tcPr>
            <w:tcW w:w="574" w:type="pct"/>
            <w:shd w:val="clear" w:color="auto" w:fill="auto"/>
            <w:vAlign w:val="center"/>
          </w:tcPr>
          <w:p>
            <w:pPr>
              <w:jc w:val="center"/>
              <w:rPr>
                <w:rFonts w:eastAsia="楷体"/>
                <w:sz w:val="21"/>
                <w:szCs w:val="21"/>
              </w:rPr>
            </w:pPr>
            <w:r>
              <w:rPr>
                <w:rFonts w:eastAsia="楷体"/>
                <w:sz w:val="21"/>
                <w:szCs w:val="21"/>
              </w:rPr>
              <w:t>2021.01.06</w:t>
            </w:r>
          </w:p>
        </w:tc>
        <w:tc>
          <w:tcPr>
            <w:tcW w:w="637" w:type="pct"/>
            <w:gridSpan w:val="2"/>
            <w:shd w:val="clear" w:color="auto" w:fill="auto"/>
            <w:vAlign w:val="center"/>
          </w:tcPr>
          <w:p>
            <w:pPr>
              <w:adjustRightInd w:val="0"/>
              <w:jc w:val="center"/>
              <w:outlineLvl w:val="1"/>
              <w:rPr>
                <w:rFonts w:eastAsia="楷体"/>
                <w:sz w:val="21"/>
                <w:szCs w:val="21"/>
              </w:rPr>
            </w:pPr>
            <w:r>
              <w:rPr>
                <w:rFonts w:eastAsia="楷体"/>
                <w:sz w:val="21"/>
                <w:szCs w:val="21"/>
              </w:rPr>
              <w:t>07174455</w:t>
            </w:r>
          </w:p>
        </w:tc>
        <w:tc>
          <w:tcPr>
            <w:tcW w:w="469" w:type="pct"/>
            <w:gridSpan w:val="2"/>
            <w:shd w:val="clear" w:color="auto" w:fill="auto"/>
            <w:vAlign w:val="center"/>
          </w:tcPr>
          <w:p>
            <w:pPr>
              <w:adjustRightInd w:val="0"/>
              <w:jc w:val="center"/>
              <w:outlineLvl w:val="1"/>
              <w:rPr>
                <w:rFonts w:eastAsia="楷体"/>
                <w:sz w:val="21"/>
                <w:szCs w:val="21"/>
              </w:rPr>
            </w:pPr>
            <w:r>
              <w:rPr>
                <w:rFonts w:eastAsia="楷体"/>
                <w:sz w:val="21"/>
                <w:szCs w:val="21"/>
              </w:rPr>
              <w:t>桂林理工大学</w:t>
            </w:r>
          </w:p>
        </w:tc>
        <w:tc>
          <w:tcPr>
            <w:tcW w:w="752" w:type="pct"/>
            <w:shd w:val="clear" w:color="auto" w:fill="auto"/>
            <w:vAlign w:val="center"/>
          </w:tcPr>
          <w:p>
            <w:pPr>
              <w:jc w:val="center"/>
              <w:rPr>
                <w:rFonts w:eastAsia="楷体"/>
                <w:sz w:val="21"/>
                <w:szCs w:val="21"/>
              </w:rPr>
            </w:pPr>
            <w:r>
              <w:rPr>
                <w:rFonts w:eastAsia="楷体"/>
                <w:sz w:val="21"/>
                <w:szCs w:val="21"/>
              </w:rPr>
              <w:t>曾鸿鹄、覃礼堂、梁延鹏</w:t>
            </w:r>
          </w:p>
        </w:tc>
        <w:tc>
          <w:tcPr>
            <w:tcW w:w="242" w:type="pct"/>
            <w:shd w:val="clear" w:color="auto" w:fill="auto"/>
            <w:vAlign w:val="center"/>
          </w:tcPr>
          <w:p>
            <w:pPr>
              <w:jc w:val="center"/>
              <w:rPr>
                <w:rFonts w:eastAsia="楷体"/>
                <w:sz w:val="21"/>
                <w:szCs w:val="21"/>
              </w:rPr>
            </w:pPr>
            <w:r>
              <w:rPr>
                <w:rFonts w:eastAsia="楷体"/>
                <w:sz w:val="21"/>
                <w:szCs w:val="21"/>
              </w:rPr>
              <w:t>原始取得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117" w:type="pct"/>
            <w:shd w:val="clear" w:color="auto" w:fill="auto"/>
            <w:vAlign w:val="center"/>
          </w:tcPr>
          <w:p>
            <w:pPr>
              <w:spacing w:line="240" w:lineRule="exact"/>
              <w:jc w:val="center"/>
              <w:rPr>
                <w:rFonts w:eastAsia="楷体"/>
                <w:kern w:val="0"/>
                <w:sz w:val="21"/>
                <w:szCs w:val="21"/>
              </w:rPr>
            </w:pPr>
            <w:r>
              <w:rPr>
                <w:rFonts w:eastAsia="楷体"/>
                <w:kern w:val="0"/>
                <w:sz w:val="21"/>
                <w:szCs w:val="21"/>
              </w:rPr>
              <w:t>5</w:t>
            </w:r>
          </w:p>
        </w:tc>
        <w:tc>
          <w:tcPr>
            <w:tcW w:w="395" w:type="pct"/>
            <w:gridSpan w:val="2"/>
            <w:shd w:val="clear" w:color="auto" w:fill="auto"/>
            <w:vAlign w:val="center"/>
          </w:tcPr>
          <w:p>
            <w:pPr>
              <w:spacing w:line="240" w:lineRule="atLeast"/>
              <w:jc w:val="center"/>
              <w:rPr>
                <w:rFonts w:eastAsia="楷体"/>
                <w:sz w:val="21"/>
                <w:szCs w:val="21"/>
              </w:rPr>
            </w:pPr>
            <w:r>
              <w:rPr>
                <w:rFonts w:eastAsia="楷体"/>
                <w:sz w:val="21"/>
                <w:szCs w:val="21"/>
              </w:rPr>
              <w:t>软件著作权</w:t>
            </w:r>
          </w:p>
        </w:tc>
        <w:tc>
          <w:tcPr>
            <w:tcW w:w="588" w:type="pct"/>
            <w:gridSpan w:val="2"/>
            <w:shd w:val="clear" w:color="auto" w:fill="auto"/>
            <w:vAlign w:val="center"/>
          </w:tcPr>
          <w:p>
            <w:pPr>
              <w:tabs>
                <w:tab w:val="left" w:pos="475"/>
              </w:tabs>
              <w:spacing w:line="240" w:lineRule="atLeast"/>
              <w:jc w:val="center"/>
              <w:rPr>
                <w:rFonts w:eastAsia="楷体"/>
                <w:sz w:val="21"/>
                <w:szCs w:val="21"/>
              </w:rPr>
            </w:pPr>
            <w:r>
              <w:rPr>
                <w:rFonts w:eastAsia="楷体"/>
                <w:sz w:val="21"/>
                <w:szCs w:val="21"/>
              </w:rPr>
              <w:t>农业生态环境监控软件V1.0</w:t>
            </w:r>
          </w:p>
        </w:tc>
        <w:tc>
          <w:tcPr>
            <w:tcW w:w="223" w:type="pct"/>
            <w:shd w:val="clear" w:color="auto" w:fill="auto"/>
            <w:vAlign w:val="center"/>
          </w:tcPr>
          <w:p>
            <w:pPr>
              <w:jc w:val="center"/>
              <w:rPr>
                <w:rFonts w:eastAsia="楷体"/>
                <w:sz w:val="21"/>
                <w:szCs w:val="21"/>
              </w:rPr>
            </w:pPr>
            <w:r>
              <w:rPr>
                <w:rFonts w:eastAsia="楷体"/>
                <w:sz w:val="21"/>
                <w:szCs w:val="21"/>
              </w:rPr>
              <w:t>中国</w:t>
            </w:r>
          </w:p>
        </w:tc>
        <w:tc>
          <w:tcPr>
            <w:tcW w:w="1003" w:type="pct"/>
            <w:shd w:val="clear" w:color="auto" w:fill="auto"/>
            <w:vAlign w:val="center"/>
          </w:tcPr>
          <w:p>
            <w:pPr>
              <w:adjustRightInd w:val="0"/>
              <w:jc w:val="center"/>
              <w:outlineLvl w:val="1"/>
              <w:rPr>
                <w:rFonts w:eastAsia="楷体"/>
                <w:sz w:val="21"/>
                <w:szCs w:val="21"/>
              </w:rPr>
            </w:pPr>
            <w:r>
              <w:rPr>
                <w:rFonts w:eastAsia="楷体"/>
                <w:sz w:val="21"/>
                <w:szCs w:val="21"/>
              </w:rPr>
              <w:t>2020SR1717816</w:t>
            </w:r>
          </w:p>
        </w:tc>
        <w:tc>
          <w:tcPr>
            <w:tcW w:w="574" w:type="pct"/>
            <w:shd w:val="clear" w:color="auto" w:fill="auto"/>
            <w:vAlign w:val="center"/>
          </w:tcPr>
          <w:p>
            <w:pPr>
              <w:jc w:val="center"/>
              <w:rPr>
                <w:rFonts w:eastAsia="楷体"/>
                <w:sz w:val="21"/>
                <w:szCs w:val="21"/>
              </w:rPr>
            </w:pPr>
            <w:r>
              <w:rPr>
                <w:rFonts w:eastAsia="楷体"/>
                <w:sz w:val="21"/>
                <w:szCs w:val="21"/>
              </w:rPr>
              <w:t>2020.12.02</w:t>
            </w:r>
          </w:p>
        </w:tc>
        <w:tc>
          <w:tcPr>
            <w:tcW w:w="637" w:type="pct"/>
            <w:gridSpan w:val="2"/>
            <w:shd w:val="clear" w:color="auto" w:fill="auto"/>
            <w:vAlign w:val="center"/>
          </w:tcPr>
          <w:p>
            <w:pPr>
              <w:adjustRightInd w:val="0"/>
              <w:jc w:val="center"/>
              <w:outlineLvl w:val="1"/>
              <w:rPr>
                <w:rFonts w:eastAsia="楷体"/>
                <w:sz w:val="21"/>
                <w:szCs w:val="21"/>
              </w:rPr>
            </w:pPr>
            <w:r>
              <w:rPr>
                <w:rFonts w:eastAsia="楷体"/>
                <w:sz w:val="21"/>
                <w:szCs w:val="21"/>
              </w:rPr>
              <w:t>06880004</w:t>
            </w:r>
          </w:p>
        </w:tc>
        <w:tc>
          <w:tcPr>
            <w:tcW w:w="469" w:type="pct"/>
            <w:gridSpan w:val="2"/>
            <w:shd w:val="clear" w:color="auto" w:fill="auto"/>
            <w:vAlign w:val="center"/>
          </w:tcPr>
          <w:p>
            <w:pPr>
              <w:adjustRightInd w:val="0"/>
              <w:jc w:val="center"/>
              <w:outlineLvl w:val="1"/>
              <w:rPr>
                <w:rFonts w:eastAsia="楷体"/>
                <w:sz w:val="21"/>
                <w:szCs w:val="21"/>
              </w:rPr>
            </w:pPr>
            <w:r>
              <w:rPr>
                <w:rFonts w:eastAsia="楷体"/>
                <w:sz w:val="21"/>
                <w:szCs w:val="21"/>
              </w:rPr>
              <w:t>桂林理工大学</w:t>
            </w:r>
          </w:p>
        </w:tc>
        <w:tc>
          <w:tcPr>
            <w:tcW w:w="752" w:type="pct"/>
            <w:shd w:val="clear" w:color="auto" w:fill="auto"/>
            <w:vAlign w:val="center"/>
          </w:tcPr>
          <w:p>
            <w:pPr>
              <w:jc w:val="center"/>
              <w:rPr>
                <w:rFonts w:eastAsia="楷体"/>
                <w:sz w:val="21"/>
                <w:szCs w:val="21"/>
              </w:rPr>
            </w:pPr>
            <w:r>
              <w:rPr>
                <w:rFonts w:eastAsia="楷体"/>
                <w:sz w:val="21"/>
                <w:szCs w:val="21"/>
              </w:rPr>
              <w:t>曾鸿鹄</w:t>
            </w:r>
          </w:p>
        </w:tc>
        <w:tc>
          <w:tcPr>
            <w:tcW w:w="242" w:type="pct"/>
            <w:shd w:val="clear" w:color="auto" w:fill="auto"/>
            <w:vAlign w:val="center"/>
          </w:tcPr>
          <w:p>
            <w:pPr>
              <w:jc w:val="center"/>
              <w:rPr>
                <w:rFonts w:eastAsia="楷体"/>
                <w:sz w:val="21"/>
                <w:szCs w:val="21"/>
              </w:rPr>
            </w:pPr>
            <w:r>
              <w:rPr>
                <w:rFonts w:eastAsia="楷体"/>
                <w:sz w:val="21"/>
                <w:szCs w:val="21"/>
              </w:rPr>
              <w:t>原始取得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117" w:type="pct"/>
            <w:shd w:val="clear" w:color="auto" w:fill="auto"/>
            <w:vAlign w:val="center"/>
          </w:tcPr>
          <w:p>
            <w:pPr>
              <w:spacing w:line="240" w:lineRule="exact"/>
              <w:jc w:val="center"/>
              <w:rPr>
                <w:rFonts w:eastAsia="楷体"/>
                <w:kern w:val="0"/>
                <w:sz w:val="21"/>
                <w:szCs w:val="21"/>
              </w:rPr>
            </w:pPr>
            <w:r>
              <w:rPr>
                <w:rFonts w:eastAsia="楷体"/>
                <w:kern w:val="0"/>
                <w:sz w:val="21"/>
                <w:szCs w:val="21"/>
              </w:rPr>
              <w:t>6</w:t>
            </w:r>
          </w:p>
        </w:tc>
        <w:tc>
          <w:tcPr>
            <w:tcW w:w="395" w:type="pct"/>
            <w:gridSpan w:val="2"/>
            <w:shd w:val="clear" w:color="auto" w:fill="auto"/>
            <w:vAlign w:val="center"/>
          </w:tcPr>
          <w:p>
            <w:pPr>
              <w:spacing w:line="240" w:lineRule="atLeast"/>
              <w:jc w:val="center"/>
              <w:rPr>
                <w:rFonts w:eastAsia="楷体"/>
                <w:sz w:val="21"/>
                <w:szCs w:val="21"/>
              </w:rPr>
            </w:pPr>
            <w:r>
              <w:rPr>
                <w:rFonts w:eastAsia="楷体"/>
                <w:sz w:val="21"/>
                <w:szCs w:val="21"/>
              </w:rPr>
              <w:t>软件著作权</w:t>
            </w:r>
          </w:p>
        </w:tc>
        <w:tc>
          <w:tcPr>
            <w:tcW w:w="588" w:type="pct"/>
            <w:gridSpan w:val="2"/>
            <w:shd w:val="clear" w:color="auto" w:fill="auto"/>
            <w:vAlign w:val="center"/>
          </w:tcPr>
          <w:p>
            <w:pPr>
              <w:spacing w:line="240" w:lineRule="auto"/>
              <w:jc w:val="center"/>
              <w:rPr>
                <w:rFonts w:eastAsia="楷体"/>
                <w:sz w:val="21"/>
                <w:szCs w:val="21"/>
              </w:rPr>
            </w:pPr>
            <w:r>
              <w:rPr>
                <w:rFonts w:eastAsia="楷体"/>
                <w:sz w:val="21"/>
                <w:szCs w:val="21"/>
              </w:rPr>
              <w:t>智能节水灌溉管理软件V1.0</w:t>
            </w:r>
          </w:p>
        </w:tc>
        <w:tc>
          <w:tcPr>
            <w:tcW w:w="223" w:type="pct"/>
            <w:shd w:val="clear" w:color="auto" w:fill="auto"/>
            <w:vAlign w:val="center"/>
          </w:tcPr>
          <w:p>
            <w:pPr>
              <w:jc w:val="center"/>
              <w:rPr>
                <w:rFonts w:eastAsia="楷体"/>
                <w:sz w:val="21"/>
                <w:szCs w:val="21"/>
              </w:rPr>
            </w:pPr>
            <w:r>
              <w:rPr>
                <w:rFonts w:eastAsia="楷体"/>
                <w:sz w:val="21"/>
                <w:szCs w:val="21"/>
              </w:rPr>
              <w:t>中国</w:t>
            </w:r>
          </w:p>
        </w:tc>
        <w:tc>
          <w:tcPr>
            <w:tcW w:w="1003" w:type="pct"/>
            <w:shd w:val="clear" w:color="auto" w:fill="auto"/>
            <w:vAlign w:val="center"/>
          </w:tcPr>
          <w:p>
            <w:pPr>
              <w:adjustRightInd w:val="0"/>
              <w:jc w:val="center"/>
              <w:outlineLvl w:val="1"/>
              <w:rPr>
                <w:rFonts w:eastAsia="楷体"/>
                <w:sz w:val="21"/>
                <w:szCs w:val="21"/>
              </w:rPr>
            </w:pPr>
            <w:r>
              <w:rPr>
                <w:rFonts w:eastAsia="楷体"/>
                <w:sz w:val="21"/>
                <w:szCs w:val="21"/>
              </w:rPr>
              <w:t>2020SR1717815</w:t>
            </w:r>
          </w:p>
        </w:tc>
        <w:tc>
          <w:tcPr>
            <w:tcW w:w="574" w:type="pct"/>
            <w:shd w:val="clear" w:color="auto" w:fill="auto"/>
            <w:vAlign w:val="center"/>
          </w:tcPr>
          <w:p>
            <w:pPr>
              <w:jc w:val="center"/>
              <w:rPr>
                <w:rFonts w:eastAsia="楷体"/>
                <w:sz w:val="21"/>
                <w:szCs w:val="21"/>
              </w:rPr>
            </w:pPr>
            <w:r>
              <w:rPr>
                <w:rFonts w:eastAsia="楷体"/>
                <w:sz w:val="21"/>
                <w:szCs w:val="21"/>
              </w:rPr>
              <w:t>2020.12.02</w:t>
            </w:r>
          </w:p>
        </w:tc>
        <w:tc>
          <w:tcPr>
            <w:tcW w:w="637" w:type="pct"/>
            <w:gridSpan w:val="2"/>
            <w:shd w:val="clear" w:color="auto" w:fill="auto"/>
            <w:vAlign w:val="center"/>
          </w:tcPr>
          <w:p>
            <w:pPr>
              <w:adjustRightInd w:val="0"/>
              <w:jc w:val="center"/>
              <w:outlineLvl w:val="1"/>
              <w:rPr>
                <w:rFonts w:eastAsia="楷体"/>
                <w:sz w:val="21"/>
                <w:szCs w:val="21"/>
              </w:rPr>
            </w:pPr>
            <w:r>
              <w:rPr>
                <w:rFonts w:eastAsia="楷体"/>
                <w:sz w:val="21"/>
                <w:szCs w:val="21"/>
              </w:rPr>
              <w:t>06880002</w:t>
            </w:r>
          </w:p>
        </w:tc>
        <w:tc>
          <w:tcPr>
            <w:tcW w:w="469" w:type="pct"/>
            <w:gridSpan w:val="2"/>
            <w:shd w:val="clear" w:color="auto" w:fill="auto"/>
            <w:vAlign w:val="center"/>
          </w:tcPr>
          <w:p>
            <w:pPr>
              <w:adjustRightInd w:val="0"/>
              <w:jc w:val="center"/>
              <w:outlineLvl w:val="1"/>
              <w:rPr>
                <w:rFonts w:eastAsia="楷体"/>
                <w:sz w:val="21"/>
                <w:szCs w:val="21"/>
              </w:rPr>
            </w:pPr>
            <w:r>
              <w:rPr>
                <w:rFonts w:eastAsia="楷体"/>
                <w:sz w:val="21"/>
                <w:szCs w:val="21"/>
              </w:rPr>
              <w:t>桂林理工大学</w:t>
            </w:r>
          </w:p>
        </w:tc>
        <w:tc>
          <w:tcPr>
            <w:tcW w:w="752" w:type="pct"/>
            <w:shd w:val="clear" w:color="auto" w:fill="auto"/>
            <w:vAlign w:val="center"/>
          </w:tcPr>
          <w:p>
            <w:pPr>
              <w:jc w:val="center"/>
              <w:rPr>
                <w:rFonts w:eastAsia="楷体"/>
                <w:sz w:val="21"/>
                <w:szCs w:val="21"/>
              </w:rPr>
            </w:pPr>
            <w:r>
              <w:rPr>
                <w:rFonts w:eastAsia="楷体"/>
                <w:sz w:val="21"/>
                <w:szCs w:val="21"/>
              </w:rPr>
              <w:t>曾鸿鹄</w:t>
            </w:r>
          </w:p>
        </w:tc>
        <w:tc>
          <w:tcPr>
            <w:tcW w:w="242" w:type="pct"/>
            <w:shd w:val="clear" w:color="auto" w:fill="auto"/>
            <w:vAlign w:val="center"/>
          </w:tcPr>
          <w:p>
            <w:pPr>
              <w:jc w:val="center"/>
              <w:rPr>
                <w:rFonts w:eastAsia="楷体"/>
                <w:sz w:val="21"/>
                <w:szCs w:val="21"/>
              </w:rPr>
            </w:pPr>
            <w:r>
              <w:rPr>
                <w:rFonts w:eastAsia="楷体"/>
                <w:sz w:val="21"/>
                <w:szCs w:val="21"/>
              </w:rPr>
              <w:t>原始取得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117" w:type="pct"/>
            <w:shd w:val="clear" w:color="auto" w:fill="auto"/>
            <w:vAlign w:val="center"/>
          </w:tcPr>
          <w:p>
            <w:pPr>
              <w:spacing w:line="240" w:lineRule="exact"/>
              <w:jc w:val="center"/>
              <w:rPr>
                <w:rFonts w:eastAsia="楷体"/>
                <w:kern w:val="0"/>
                <w:sz w:val="21"/>
                <w:szCs w:val="21"/>
              </w:rPr>
            </w:pPr>
            <w:r>
              <w:rPr>
                <w:rFonts w:eastAsia="楷体"/>
                <w:kern w:val="0"/>
                <w:sz w:val="21"/>
                <w:szCs w:val="21"/>
              </w:rPr>
              <w:t>7</w:t>
            </w:r>
          </w:p>
        </w:tc>
        <w:tc>
          <w:tcPr>
            <w:tcW w:w="395" w:type="pct"/>
            <w:gridSpan w:val="2"/>
            <w:shd w:val="clear" w:color="auto" w:fill="auto"/>
            <w:vAlign w:val="center"/>
          </w:tcPr>
          <w:p>
            <w:pPr>
              <w:adjustRightInd w:val="0"/>
              <w:spacing w:line="240" w:lineRule="auto"/>
              <w:jc w:val="center"/>
              <w:outlineLvl w:val="1"/>
              <w:rPr>
                <w:rFonts w:eastAsia="楷体"/>
                <w:sz w:val="21"/>
                <w:szCs w:val="21"/>
              </w:rPr>
            </w:pPr>
            <w:r>
              <w:rPr>
                <w:rFonts w:eastAsia="楷体"/>
                <w:sz w:val="21"/>
                <w:szCs w:val="21"/>
              </w:rPr>
              <w:t>团体标准</w:t>
            </w:r>
          </w:p>
        </w:tc>
        <w:tc>
          <w:tcPr>
            <w:tcW w:w="588" w:type="pct"/>
            <w:gridSpan w:val="2"/>
            <w:shd w:val="clear" w:color="auto" w:fill="auto"/>
            <w:vAlign w:val="center"/>
          </w:tcPr>
          <w:p>
            <w:pPr>
              <w:spacing w:line="240" w:lineRule="auto"/>
              <w:jc w:val="center"/>
              <w:rPr>
                <w:rFonts w:eastAsia="楷体"/>
                <w:sz w:val="21"/>
                <w:szCs w:val="21"/>
              </w:rPr>
            </w:pPr>
            <w:r>
              <w:rPr>
                <w:rFonts w:eastAsia="楷体"/>
                <w:sz w:val="21"/>
                <w:szCs w:val="21"/>
              </w:rPr>
              <w:t>农村分散式供水系统技术指引</w:t>
            </w:r>
          </w:p>
        </w:tc>
        <w:tc>
          <w:tcPr>
            <w:tcW w:w="223" w:type="pct"/>
            <w:shd w:val="clear" w:color="auto" w:fill="auto"/>
            <w:vAlign w:val="center"/>
          </w:tcPr>
          <w:p>
            <w:pPr>
              <w:spacing w:line="240" w:lineRule="auto"/>
              <w:jc w:val="center"/>
              <w:rPr>
                <w:rFonts w:eastAsia="楷体"/>
                <w:sz w:val="21"/>
                <w:szCs w:val="21"/>
              </w:rPr>
            </w:pPr>
            <w:r>
              <w:rPr>
                <w:rFonts w:eastAsia="楷体"/>
                <w:sz w:val="21"/>
                <w:szCs w:val="21"/>
              </w:rPr>
              <w:t>中国</w:t>
            </w:r>
          </w:p>
        </w:tc>
        <w:tc>
          <w:tcPr>
            <w:tcW w:w="1003" w:type="pct"/>
            <w:shd w:val="clear" w:color="auto" w:fill="auto"/>
            <w:vAlign w:val="center"/>
          </w:tcPr>
          <w:p>
            <w:pPr>
              <w:adjustRightInd w:val="0"/>
              <w:spacing w:line="240" w:lineRule="auto"/>
              <w:jc w:val="center"/>
              <w:outlineLvl w:val="1"/>
              <w:rPr>
                <w:rFonts w:eastAsia="楷体"/>
                <w:sz w:val="21"/>
                <w:szCs w:val="21"/>
              </w:rPr>
            </w:pPr>
            <w:r>
              <w:rPr>
                <w:rFonts w:eastAsia="楷体"/>
                <w:sz w:val="21"/>
                <w:szCs w:val="21"/>
              </w:rPr>
              <w:t>T/GXAS 183—2021</w:t>
            </w:r>
          </w:p>
        </w:tc>
        <w:tc>
          <w:tcPr>
            <w:tcW w:w="574" w:type="pct"/>
            <w:shd w:val="clear" w:color="auto" w:fill="auto"/>
            <w:vAlign w:val="center"/>
          </w:tcPr>
          <w:p>
            <w:pPr>
              <w:spacing w:line="240" w:lineRule="auto"/>
              <w:jc w:val="center"/>
              <w:rPr>
                <w:rFonts w:eastAsia="楷体"/>
                <w:sz w:val="21"/>
                <w:szCs w:val="21"/>
              </w:rPr>
            </w:pPr>
            <w:r>
              <w:rPr>
                <w:rFonts w:eastAsia="楷体"/>
                <w:sz w:val="21"/>
                <w:szCs w:val="21"/>
              </w:rPr>
              <w:t>2021.3.15</w:t>
            </w:r>
          </w:p>
        </w:tc>
        <w:tc>
          <w:tcPr>
            <w:tcW w:w="637" w:type="pct"/>
            <w:gridSpan w:val="2"/>
            <w:shd w:val="clear" w:color="auto" w:fill="auto"/>
            <w:vAlign w:val="center"/>
          </w:tcPr>
          <w:p>
            <w:pPr>
              <w:adjustRightInd w:val="0"/>
              <w:spacing w:line="240" w:lineRule="auto"/>
              <w:jc w:val="center"/>
              <w:outlineLvl w:val="1"/>
              <w:rPr>
                <w:rFonts w:eastAsia="楷体"/>
                <w:sz w:val="21"/>
                <w:szCs w:val="21"/>
              </w:rPr>
            </w:pPr>
            <w:r>
              <w:rPr>
                <w:rFonts w:eastAsia="楷体"/>
                <w:sz w:val="21"/>
                <w:szCs w:val="21"/>
              </w:rPr>
              <w:t>广西标准化协会</w:t>
            </w:r>
          </w:p>
        </w:tc>
        <w:tc>
          <w:tcPr>
            <w:tcW w:w="469" w:type="pct"/>
            <w:gridSpan w:val="2"/>
            <w:shd w:val="clear" w:color="auto" w:fill="auto"/>
            <w:vAlign w:val="center"/>
          </w:tcPr>
          <w:p>
            <w:pPr>
              <w:adjustRightInd w:val="0"/>
              <w:spacing w:line="240" w:lineRule="auto"/>
              <w:jc w:val="center"/>
              <w:outlineLvl w:val="1"/>
              <w:rPr>
                <w:rFonts w:eastAsia="楷体"/>
                <w:sz w:val="21"/>
                <w:szCs w:val="21"/>
              </w:rPr>
            </w:pPr>
            <w:r>
              <w:rPr>
                <w:rFonts w:eastAsia="楷体"/>
                <w:sz w:val="21"/>
                <w:szCs w:val="21"/>
              </w:rPr>
              <w:t>桂林理工大学</w:t>
            </w:r>
          </w:p>
        </w:tc>
        <w:tc>
          <w:tcPr>
            <w:tcW w:w="752" w:type="pct"/>
            <w:shd w:val="clear" w:color="auto" w:fill="auto"/>
            <w:vAlign w:val="center"/>
          </w:tcPr>
          <w:p>
            <w:pPr>
              <w:spacing w:line="240" w:lineRule="auto"/>
              <w:jc w:val="center"/>
              <w:rPr>
                <w:rFonts w:eastAsia="楷体"/>
                <w:sz w:val="21"/>
                <w:szCs w:val="21"/>
              </w:rPr>
            </w:pPr>
            <w:r>
              <w:rPr>
                <w:rFonts w:eastAsia="楷体"/>
                <w:sz w:val="21"/>
                <w:szCs w:val="21"/>
              </w:rPr>
              <w:t>曾鸿鹄、李海翔、陆燕勤、许立巍、林华、谢益平、白少元</w:t>
            </w:r>
          </w:p>
        </w:tc>
        <w:tc>
          <w:tcPr>
            <w:tcW w:w="242" w:type="pct"/>
            <w:shd w:val="clear" w:color="auto" w:fill="auto"/>
            <w:vAlign w:val="center"/>
          </w:tcPr>
          <w:p>
            <w:pPr>
              <w:spacing w:line="240" w:lineRule="auto"/>
              <w:jc w:val="center"/>
              <w:rPr>
                <w:rFonts w:eastAsia="楷体"/>
                <w:sz w:val="21"/>
                <w:szCs w:val="21"/>
              </w:rPr>
            </w:pPr>
            <w:r>
              <w:rPr>
                <w:rFonts w:eastAsia="楷体"/>
                <w:sz w:val="21"/>
                <w:szCs w:val="21"/>
              </w:rPr>
              <w:t>已实施</w:t>
            </w:r>
          </w:p>
        </w:tc>
      </w:tr>
    </w:tbl>
    <w:p>
      <w:pPr>
        <w:spacing w:line="240" w:lineRule="auto"/>
        <w:rPr>
          <w:rFonts w:eastAsia="楷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6CF"/>
    <w:rsid w:val="000109A6"/>
    <w:rsid w:val="00031171"/>
    <w:rsid w:val="0004688E"/>
    <w:rsid w:val="0006511F"/>
    <w:rsid w:val="0007125D"/>
    <w:rsid w:val="00085A85"/>
    <w:rsid w:val="000865D6"/>
    <w:rsid w:val="000A1DD8"/>
    <w:rsid w:val="000C1B7C"/>
    <w:rsid w:val="000E0D62"/>
    <w:rsid w:val="001013D7"/>
    <w:rsid w:val="00121A2F"/>
    <w:rsid w:val="00126201"/>
    <w:rsid w:val="001A60D1"/>
    <w:rsid w:val="00215172"/>
    <w:rsid w:val="00224775"/>
    <w:rsid w:val="00231F67"/>
    <w:rsid w:val="00233F50"/>
    <w:rsid w:val="00252A4E"/>
    <w:rsid w:val="002705A4"/>
    <w:rsid w:val="002C23B7"/>
    <w:rsid w:val="003119C7"/>
    <w:rsid w:val="003356EB"/>
    <w:rsid w:val="003534A5"/>
    <w:rsid w:val="00361BCE"/>
    <w:rsid w:val="0036339D"/>
    <w:rsid w:val="003A097F"/>
    <w:rsid w:val="003B4717"/>
    <w:rsid w:val="003F3904"/>
    <w:rsid w:val="00417C6F"/>
    <w:rsid w:val="004501BA"/>
    <w:rsid w:val="00471166"/>
    <w:rsid w:val="004A784F"/>
    <w:rsid w:val="005016CF"/>
    <w:rsid w:val="00514C8F"/>
    <w:rsid w:val="005269DE"/>
    <w:rsid w:val="0053766C"/>
    <w:rsid w:val="0054420C"/>
    <w:rsid w:val="005936CF"/>
    <w:rsid w:val="005A5A77"/>
    <w:rsid w:val="005B2C36"/>
    <w:rsid w:val="005B437E"/>
    <w:rsid w:val="005E1F21"/>
    <w:rsid w:val="005E6A5A"/>
    <w:rsid w:val="00634874"/>
    <w:rsid w:val="006520EA"/>
    <w:rsid w:val="006A1D41"/>
    <w:rsid w:val="006C5770"/>
    <w:rsid w:val="00712818"/>
    <w:rsid w:val="00725C9C"/>
    <w:rsid w:val="00795D6A"/>
    <w:rsid w:val="007A49BC"/>
    <w:rsid w:val="007D1F50"/>
    <w:rsid w:val="00822731"/>
    <w:rsid w:val="00864C7B"/>
    <w:rsid w:val="00892565"/>
    <w:rsid w:val="008B214D"/>
    <w:rsid w:val="009068E6"/>
    <w:rsid w:val="00980CCE"/>
    <w:rsid w:val="009E4712"/>
    <w:rsid w:val="00A46C1B"/>
    <w:rsid w:val="00A908FD"/>
    <w:rsid w:val="00AB35FF"/>
    <w:rsid w:val="00AD4E84"/>
    <w:rsid w:val="00B11378"/>
    <w:rsid w:val="00B16690"/>
    <w:rsid w:val="00B62464"/>
    <w:rsid w:val="00B64049"/>
    <w:rsid w:val="00C40212"/>
    <w:rsid w:val="00C406E8"/>
    <w:rsid w:val="00CD28EE"/>
    <w:rsid w:val="00CD3FF8"/>
    <w:rsid w:val="00D433C1"/>
    <w:rsid w:val="00DC3CBF"/>
    <w:rsid w:val="00DD334D"/>
    <w:rsid w:val="00DD41EA"/>
    <w:rsid w:val="00DD7575"/>
    <w:rsid w:val="00E12E05"/>
    <w:rsid w:val="00E479F0"/>
    <w:rsid w:val="00E61D31"/>
    <w:rsid w:val="00EE6B3E"/>
    <w:rsid w:val="00EF694E"/>
    <w:rsid w:val="00F124D5"/>
    <w:rsid w:val="00FA1087"/>
    <w:rsid w:val="00FD764F"/>
    <w:rsid w:val="00FE23C9"/>
    <w:rsid w:val="00FE2685"/>
    <w:rsid w:val="03E20BC3"/>
    <w:rsid w:val="0AD8353C"/>
    <w:rsid w:val="11767C08"/>
    <w:rsid w:val="138B3E04"/>
    <w:rsid w:val="2BD93B5E"/>
    <w:rsid w:val="2EAA2047"/>
    <w:rsid w:val="2FD0610B"/>
    <w:rsid w:val="349C2DD1"/>
    <w:rsid w:val="3858504B"/>
    <w:rsid w:val="392326C9"/>
    <w:rsid w:val="399B12B6"/>
    <w:rsid w:val="3E5F69B1"/>
    <w:rsid w:val="41843FE6"/>
    <w:rsid w:val="440A50B2"/>
    <w:rsid w:val="472433A7"/>
    <w:rsid w:val="4BD30D6C"/>
    <w:rsid w:val="540259C5"/>
    <w:rsid w:val="5AF923D4"/>
    <w:rsid w:val="6AE233D0"/>
    <w:rsid w:val="6D6C5ECC"/>
    <w:rsid w:val="71110DEE"/>
    <w:rsid w:val="7FAE3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pPr>
    <w:rPr>
      <w:rFonts w:ascii="Times New Roman" w:hAnsi="Times New Roman" w:eastAsia="仿宋_GB2312" w:cs="Times New Roman"/>
      <w:kern w:val="2"/>
      <w:sz w:val="3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0"/>
    <w:pPr>
      <w:widowControl w:val="0"/>
      <w:spacing w:line="360" w:lineRule="auto"/>
      <w:ind w:firstLine="480" w:firstLineChars="200"/>
      <w:jc w:val="both"/>
    </w:pPr>
    <w:rPr>
      <w:rFonts w:hint="eastAsia" w:ascii="仿宋_GB2312" w:eastAsia="宋体"/>
      <w:sz w:val="24"/>
      <w:szCs w:val="20"/>
    </w:rPr>
  </w:style>
  <w:style w:type="paragraph" w:styleId="3">
    <w:name w:val="footer"/>
    <w:basedOn w:val="1"/>
    <w:link w:val="11"/>
    <w:unhideWhenUsed/>
    <w:qFormat/>
    <w:uiPriority w:val="99"/>
    <w:pPr>
      <w:tabs>
        <w:tab w:val="center" w:pos="4153"/>
        <w:tab w:val="right" w:pos="8306"/>
      </w:tabs>
      <w:snapToGrid w:val="0"/>
      <w:spacing w:line="240" w:lineRule="atLeas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unhideWhenUsed/>
    <w:qFormat/>
    <w:uiPriority w:val="99"/>
    <w:rPr>
      <w:sz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纯文本 Char"/>
    <w:basedOn w:val="8"/>
    <w:link w:val="2"/>
    <w:qFormat/>
    <w:uiPriority w:val="0"/>
    <w:rPr>
      <w:rFonts w:ascii="仿宋_GB2312" w:hAnsi="Times New Roman" w:eastAsia="宋体" w:cs="Times New Roman"/>
      <w:sz w:val="24"/>
      <w:szCs w:val="20"/>
    </w:rPr>
  </w:style>
  <w:style w:type="character" w:customStyle="1" w:styleId="10">
    <w:name w:val="页眉 Char"/>
    <w:basedOn w:val="8"/>
    <w:link w:val="4"/>
    <w:qFormat/>
    <w:uiPriority w:val="99"/>
    <w:rPr>
      <w:rFonts w:ascii="Times New Roman" w:hAnsi="Times New Roman" w:eastAsia="仿宋_GB2312" w:cs="Times New Roman"/>
      <w:sz w:val="18"/>
      <w:szCs w:val="18"/>
    </w:rPr>
  </w:style>
  <w:style w:type="character" w:customStyle="1" w:styleId="11">
    <w:name w:val="页脚 Char"/>
    <w:basedOn w:val="8"/>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277</Words>
  <Characters>1583</Characters>
  <Lines>13</Lines>
  <Paragraphs>3</Paragraphs>
  <TotalTime>100</TotalTime>
  <ScaleCrop>false</ScaleCrop>
  <LinksUpToDate>false</LinksUpToDate>
  <CharactersWithSpaces>1857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2021-07-05T02:51:00Z</dcterms:created>
  <dc:creator>whx</dc:creator>
  <cp:lastModifiedBy>黄翔</cp:lastModifiedBy>
  <dcterms:modified xsi:type="dcterms:W3CDTF">2021-07-21T03:44:18Z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47B8D95DEA7A4B57B951FB837B70082B</vt:lpwstr>
  </property>
</Properties>
</file>