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jc w:val="left"/>
        <w:rPr>
          <w:rFonts w:ascii="黑体" w:eastAsia="黑体" w:hAnsi="黑体"/>
          <w:bCs/>
          <w:kern w:val="36"/>
          <w:sz w:val="32"/>
          <w:szCs w:val="32"/>
        </w:rPr>
      </w:pPr>
      <w:r>
        <w:rPr>
          <w:rFonts w:ascii="黑体" w:eastAsia="黑体" w:hAnsi="黑体" w:hint="eastAsia"/>
          <w:bCs/>
          <w:kern w:val="36"/>
          <w:sz w:val="32"/>
          <w:szCs w:val="32"/>
        </w:rPr>
        <w:t>附件2</w:t>
      </w:r>
    </w:p>
    <w:p>
      <w:pPr>
        <w:numPr>
          <w:ilvl w:val="0"/>
          <w:numId w:val="0"/>
        </w:numPr>
        <w:jc w:val="left"/>
        <w:rPr>
          <w:rFonts w:ascii="黑体" w:eastAsia="黑体" w:hAnsi="黑体" w:hint="default"/>
          <w:bCs/>
          <w:kern w:val="36"/>
          <w:sz w:val="32"/>
          <w:szCs w:val="32"/>
          <w:lang w:val="en-US" w:eastAsia="zh-CN"/>
        </w:rPr>
      </w:pPr>
    </w:p>
    <w:p>
      <w:pPr>
        <w:jc w:val="center"/>
        <w:rPr>
          <w:rFonts w:ascii="方正小标宋简体" w:eastAsia="方正小标宋简体" w:hAnsi="方正小标宋简体"/>
          <w:bCs/>
          <w:kern w:val="36"/>
          <w:sz w:val="44"/>
          <w:szCs w:val="44"/>
        </w:rPr>
      </w:pPr>
      <w:r>
        <w:rPr>
          <w:rFonts w:ascii="方正小标宋简体" w:eastAsia="方正小标宋简体" w:hAnsi="方正小标宋简体" w:hint="eastAsia"/>
          <w:bCs/>
          <w:kern w:val="36"/>
          <w:sz w:val="44"/>
          <w:szCs w:val="44"/>
        </w:rPr>
        <w:t>专业人才培养方案评判表</w:t>
      </w:r>
    </w:p>
    <w:p>
      <w:pPr>
        <w:widowControl w:val="0"/>
        <w:spacing w:before="48" w:beforeLines="20" w:after="48" w:afterLines="20" w:line="280" w:lineRule="exact"/>
        <w:rPr>
          <w:rFonts w:ascii="宋体" w:hAnsi="宋体" w:cs="宋体" w:hint="eastAsia"/>
          <w:bCs/>
          <w:color w:val="000000"/>
          <w:sz w:val="28"/>
          <w:szCs w:val="28"/>
          <w:lang w:val="en-US" w:eastAsia="zh-CN"/>
        </w:rPr>
      </w:pPr>
    </w:p>
    <w:p>
      <w:pPr>
        <w:widowControl w:val="0"/>
        <w:spacing w:before="48" w:beforeLines="20" w:after="48" w:afterLines="20" w:line="280" w:lineRule="exact"/>
        <w:rPr>
          <w:rFonts w:ascii="宋体" w:eastAsia="宋体" w:hAnsi="宋体" w:cs="宋体" w:hint="default"/>
          <w:bCs/>
          <w:color w:val="000000"/>
          <w:sz w:val="28"/>
          <w:szCs w:val="28"/>
          <w:lang w:val="en-US" w:eastAsia="zh-CN"/>
        </w:rPr>
      </w:pPr>
      <w:r>
        <w:rPr>
          <w:rFonts w:ascii="宋体" w:hAnsi="宋体" w:cs="宋体" w:hint="eastAsia"/>
          <w:bCs/>
          <w:color w:val="000000"/>
          <w:sz w:val="28"/>
          <w:szCs w:val="28"/>
          <w:lang w:val="en-US" w:eastAsia="zh-CN"/>
        </w:rPr>
        <w:t>学校：                                   专业：</w:t>
      </w:r>
    </w:p>
    <w:tbl>
      <w:tblPr>
        <w:tblStyle w:val="TableNormal"/>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39"/>
        <w:gridCol w:w="1567"/>
        <w:gridCol w:w="5929"/>
        <w:gridCol w:w="1442"/>
        <w:gridCol w:w="2164"/>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3"/>
          <w:tblHeader/>
          <w:jc w:val="center"/>
        </w:trPr>
        <w:tc>
          <w:tcPr>
            <w:tcW w:w="643"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
                <w:color w:val="000000"/>
              </w:rPr>
            </w:pPr>
            <w:r>
              <w:rPr>
                <w:rFonts w:ascii="宋体" w:hAnsi="宋体" w:hint="eastAsia"/>
                <w:b/>
                <w:color w:val="000000"/>
              </w:rPr>
              <w:t>一级指标</w:t>
            </w:r>
          </w:p>
        </w:tc>
        <w:tc>
          <w:tcPr>
            <w:tcW w:w="615"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
                <w:color w:val="000000"/>
              </w:rPr>
            </w:pPr>
            <w:r>
              <w:rPr>
                <w:rFonts w:ascii="宋体" w:hAnsi="宋体" w:hint="eastAsia"/>
                <w:b/>
                <w:color w:val="000000"/>
              </w:rPr>
              <w:t>二级指标</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
                <w:color w:val="000000"/>
              </w:rPr>
            </w:pPr>
            <w:r>
              <w:rPr>
                <w:rFonts w:ascii="宋体" w:hAnsi="宋体" w:hint="eastAsia"/>
                <w:b/>
                <w:color w:val="000000"/>
              </w:rPr>
              <w:t>评价内容</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
                <w:color w:val="000000"/>
              </w:rPr>
            </w:pPr>
            <w:r>
              <w:rPr>
                <w:rFonts w:ascii="宋体" w:hAnsi="宋体" w:hint="eastAsia"/>
                <w:b/>
                <w:color w:val="000000"/>
              </w:rPr>
              <w:t>评判结果（符合打</w:t>
            </w:r>
            <w:r>
              <w:rPr>
                <w:rFonts w:ascii="Arial" w:hAnsi="Arial" w:cs="Arial"/>
                <w:b/>
                <w:color w:val="000000"/>
              </w:rPr>
              <w:t>√</w:t>
            </w:r>
            <w:r>
              <w:rPr>
                <w:rFonts w:ascii="宋体" w:hAnsi="宋体" w:hint="eastAsia"/>
                <w:b/>
                <w:color w:val="000000"/>
              </w:rPr>
              <w:t>，不符合打</w:t>
            </w:r>
            <w:r>
              <w:rPr>
                <w:rFonts w:ascii="Arial" w:hAnsi="Arial" w:cs="Arial"/>
                <w:b/>
                <w:color w:val="000000"/>
              </w:rPr>
              <w:t>×</w:t>
            </w:r>
            <w:r>
              <w:rPr>
                <w:rFonts w:ascii="宋体" w:hAnsi="宋体" w:hint="eastAsia"/>
                <w:b/>
                <w:color w:val="000000"/>
              </w:rPr>
              <w:t>）</w:t>
            </w: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jc w:val="center"/>
              <w:rPr>
                <w:rFonts w:ascii="宋体" w:hAnsi="宋体" w:hint="eastAsia"/>
                <w:b/>
                <w:color w:val="000000"/>
                <w:lang w:val="en-US" w:eastAsia="zh-CN"/>
              </w:rPr>
            </w:pPr>
            <w:r>
              <w:rPr>
                <w:rFonts w:ascii="宋体" w:hAnsi="宋体" w:hint="eastAsia"/>
                <w:b/>
                <w:color w:val="000000"/>
                <w:lang w:val="en-US" w:eastAsia="zh-CN"/>
              </w:rPr>
              <w:t>不符合情况的</w:t>
            </w:r>
          </w:p>
          <w:p>
            <w:pPr>
              <w:widowControl w:val="0"/>
              <w:spacing w:line="280" w:lineRule="exact"/>
              <w:jc w:val="center"/>
              <w:rPr>
                <w:rFonts w:ascii="宋体" w:eastAsia="宋体" w:hAnsi="宋体" w:hint="default"/>
                <w:b/>
                <w:color w:val="000000"/>
                <w:lang w:val="en-US" w:eastAsia="zh-CN"/>
              </w:rPr>
            </w:pPr>
            <w:r>
              <w:rPr>
                <w:rFonts w:ascii="宋体" w:hAnsi="宋体" w:hint="eastAsia"/>
                <w:b/>
                <w:color w:val="000000"/>
                <w:lang w:val="en-US" w:eastAsia="zh-CN"/>
              </w:rPr>
              <w:t>具体描述</w:t>
            </w:r>
          </w:p>
        </w:tc>
      </w:tr>
      <w:tr>
        <w:tblPrEx>
          <w:tblW w:w="4998" w:type="pct"/>
          <w:jc w:val="center"/>
          <w:tblCellMar>
            <w:top w:w="0" w:type="dxa"/>
            <w:left w:w="108" w:type="dxa"/>
            <w:bottom w:w="0" w:type="dxa"/>
            <w:right w:w="108" w:type="dxa"/>
          </w:tblCellMar>
        </w:tblPrEx>
        <w:trPr>
          <w:cantSplit/>
          <w:trHeight w:val="414"/>
          <w:jc w:val="center"/>
        </w:trPr>
        <w:tc>
          <w:tcPr>
            <w:tcW w:w="643" w:type="pct"/>
            <w:vMerge w:val="restart"/>
            <w:tcBorders>
              <w:top w:val="nil"/>
              <w:left w:val="single" w:sz="4" w:space="0" w:color="auto"/>
              <w:bottom w:val="single" w:sz="4" w:space="0" w:color="auto"/>
              <w:right w:val="single" w:sz="4" w:space="0" w:color="auto"/>
            </w:tcBorders>
            <w:vAlign w:val="center"/>
          </w:tcPr>
          <w:p>
            <w:pPr>
              <w:widowControl w:val="0"/>
              <w:numPr>
                <w:ilvl w:val="0"/>
                <w:numId w:val="1"/>
              </w:numPr>
              <w:spacing w:line="280" w:lineRule="exact"/>
              <w:jc w:val="center"/>
              <w:rPr>
                <w:rFonts w:ascii="宋体" w:hAnsi="宋体"/>
                <w:bCs/>
                <w:color w:val="000000"/>
              </w:rPr>
            </w:pPr>
            <w:r>
              <w:rPr>
                <w:rFonts w:ascii="宋体" w:hAnsi="宋体"/>
                <w:bCs/>
                <w:color w:val="000000"/>
              </w:rPr>
              <w:t>培养目标</w:t>
            </w:r>
          </w:p>
          <w:p>
            <w:pPr>
              <w:widowControl w:val="0"/>
              <w:numPr>
                <w:numId w:val="0"/>
              </w:numPr>
              <w:spacing w:line="280" w:lineRule="exact"/>
              <w:jc w:val="center"/>
              <w:rPr>
                <w:rFonts w:ascii="宋体" w:hAnsi="宋体"/>
                <w:bCs/>
                <w:color w:val="000000"/>
              </w:rPr>
            </w:pPr>
            <w:r>
              <w:rPr>
                <w:rFonts w:ascii="宋体" w:hAnsi="宋体"/>
                <w:bCs/>
                <w:color w:val="000000"/>
              </w:rPr>
              <w:t>与规格</w:t>
            </w: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1.1职业面向</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line="280" w:lineRule="exact"/>
              <w:rPr>
                <w:rFonts w:ascii="宋体" w:hAnsi="宋体"/>
                <w:bCs/>
                <w:color w:val="000000"/>
              </w:rPr>
            </w:pPr>
            <w:r>
              <w:rPr>
                <w:rFonts w:ascii="宋体" w:hAnsi="宋体" w:hint="eastAsia"/>
                <w:bCs/>
                <w:color w:val="000000"/>
              </w:rPr>
              <w:t>①对应的行业准确</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2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line="280" w:lineRule="exact"/>
              <w:rPr>
                <w:rFonts w:ascii="宋体" w:hAnsi="宋体"/>
                <w:bCs/>
                <w:color w:val="000000"/>
              </w:rPr>
            </w:pPr>
            <w:r>
              <w:rPr>
                <w:rFonts w:ascii="宋体" w:hAnsi="宋体" w:hint="eastAsia"/>
                <w:bCs/>
                <w:color w:val="000000"/>
              </w:rPr>
              <w:t>②对应的职业类别准确，与培养层次、岗位需求吻合</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38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line="280" w:lineRule="exact"/>
              <w:rPr>
                <w:rFonts w:ascii="宋体" w:hAnsi="宋体"/>
                <w:bCs/>
                <w:color w:val="000000"/>
              </w:rPr>
            </w:pPr>
            <w:r>
              <w:rPr>
                <w:rFonts w:ascii="宋体" w:hAnsi="宋体" w:hint="eastAsia"/>
                <w:bCs/>
                <w:color w:val="000000"/>
              </w:rPr>
              <w:t>③对应的职业岗位数合适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1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1.2目标定位</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rPr>
                <w:rFonts w:ascii="宋体" w:hAnsi="宋体"/>
                <w:bCs/>
                <w:color w:val="000000"/>
              </w:rPr>
            </w:pPr>
            <w:r>
              <w:rPr>
                <w:rFonts w:ascii="宋体" w:hAnsi="宋体" w:hint="eastAsia"/>
                <w:bCs/>
                <w:color w:val="000000"/>
              </w:rPr>
              <w:t>①</w:t>
            </w:r>
            <w:r>
              <w:rPr>
                <w:rFonts w:ascii="宋体" w:hAnsi="宋体" w:hint="eastAsia"/>
                <w:bCs/>
                <w:color w:val="000000"/>
                <w:lang w:val="en-US" w:eastAsia="zh-CN"/>
              </w:rPr>
              <w:t>符合</w:t>
            </w:r>
            <w:r>
              <w:rPr>
                <w:rFonts w:ascii="宋体" w:hAnsi="宋体" w:hint="eastAsia"/>
                <w:bCs/>
                <w:color w:val="000000"/>
              </w:rPr>
              <w:t>学校办学层次和办学定位</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2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rPr>
                <w:rFonts w:ascii="宋体" w:eastAsia="宋体" w:hAnsi="宋体" w:hint="default"/>
                <w:bCs/>
                <w:color w:val="000000"/>
                <w:lang w:val="en-US" w:eastAsia="zh-CN"/>
              </w:rPr>
            </w:pPr>
            <w:r>
              <w:rPr>
                <w:rFonts w:ascii="宋体" w:hAnsi="宋体" w:hint="eastAsia"/>
                <w:bCs/>
                <w:color w:val="000000"/>
              </w:rPr>
              <w:t>②培养目标的描述</w:t>
            </w:r>
            <w:r>
              <w:rPr>
                <w:rFonts w:ascii="宋体" w:hAnsi="宋体" w:hint="eastAsia"/>
                <w:bCs/>
                <w:color w:val="000000"/>
                <w:lang w:val="en-US" w:eastAsia="zh-CN"/>
              </w:rPr>
              <w:t>准确，包括德智体美劳的要求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22"/>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1.3培养规格</w:t>
            </w:r>
          </w:p>
        </w:tc>
        <w:tc>
          <w:tcPr>
            <w:tcW w:w="2326" w:type="pct"/>
            <w:tcBorders>
              <w:top w:val="single" w:sz="4" w:space="0" w:color="auto"/>
              <w:left w:val="single" w:sz="4" w:space="0" w:color="auto"/>
              <w:bottom w:val="single" w:sz="4" w:space="0" w:color="auto"/>
              <w:right w:val="single" w:sz="4" w:space="0" w:color="auto"/>
            </w:tcBorders>
            <w:vAlign w:val="center"/>
          </w:tcPr>
          <w:p>
            <w:pPr>
              <w:pStyle w:val="1"/>
              <w:widowControl w:val="0"/>
              <w:spacing w:before="48" w:beforeLines="20" w:after="48" w:afterLines="20"/>
              <w:ind w:firstLine="0" w:firstLineChars="0"/>
              <w:rPr>
                <w:rFonts w:ascii="宋体" w:hAnsi="宋体"/>
                <w:bCs/>
                <w:color w:val="000000"/>
              </w:rPr>
            </w:pPr>
            <w:r>
              <w:rPr>
                <w:rFonts w:ascii="宋体" w:hAnsi="宋体" w:hint="eastAsia"/>
                <w:bCs/>
                <w:color w:val="000000"/>
              </w:rPr>
              <w:t>①关于素质、知识、能力要求表述清晰、科学</w:t>
            </w:r>
          </w:p>
        </w:tc>
        <w:tc>
          <w:tcPr>
            <w:tcW w:w="566" w:type="pct"/>
            <w:tcBorders>
              <w:top w:val="single" w:sz="4" w:space="0" w:color="auto"/>
              <w:left w:val="single" w:sz="4" w:space="0" w:color="auto"/>
              <w:bottom w:val="single" w:sz="4" w:space="0" w:color="auto"/>
              <w:right w:val="single" w:sz="4" w:space="0" w:color="auto"/>
            </w:tcBorders>
            <w:vAlign w:val="center"/>
          </w:tcPr>
          <w:p>
            <w:pPr>
              <w:pStyle w:val="1"/>
              <w:widowControl w:val="0"/>
              <w:ind w:firstLine="0" w:firstLineChars="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pStyle w:val="1"/>
              <w:widowControl w:val="0"/>
              <w:ind w:firstLine="0" w:firstLineChars="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3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pStyle w:val="1"/>
              <w:widowControl w:val="0"/>
              <w:spacing w:before="48" w:beforeLines="20" w:after="48" w:afterLines="20"/>
              <w:ind w:firstLine="0" w:firstLineChars="0"/>
              <w:rPr>
                <w:rFonts w:ascii="宋体" w:hAnsi="宋体"/>
                <w:bCs/>
                <w:color w:val="000000"/>
              </w:rPr>
            </w:pPr>
            <w:r>
              <w:rPr>
                <w:rFonts w:ascii="宋体" w:hAnsi="宋体" w:hint="eastAsia"/>
                <w:bCs/>
                <w:color w:val="000000"/>
              </w:rPr>
              <w:t>②培养规格与培养目标、职业面向相吻合</w:t>
            </w:r>
          </w:p>
        </w:tc>
        <w:tc>
          <w:tcPr>
            <w:tcW w:w="566" w:type="pct"/>
            <w:tcBorders>
              <w:top w:val="single" w:sz="4" w:space="0" w:color="auto"/>
              <w:left w:val="single" w:sz="4" w:space="0" w:color="auto"/>
              <w:bottom w:val="single" w:sz="4" w:space="0" w:color="auto"/>
              <w:right w:val="single" w:sz="4" w:space="0" w:color="auto"/>
            </w:tcBorders>
            <w:vAlign w:val="center"/>
          </w:tcPr>
          <w:p>
            <w:pPr>
              <w:pStyle w:val="1"/>
              <w:widowControl w:val="0"/>
              <w:ind w:firstLine="0" w:firstLineChars="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pStyle w:val="1"/>
              <w:widowControl w:val="0"/>
              <w:ind w:firstLine="0" w:firstLineChars="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90"/>
          <w:jc w:val="center"/>
        </w:trPr>
        <w:tc>
          <w:tcPr>
            <w:tcW w:w="643" w:type="pct"/>
            <w:vMerge w:val="restart"/>
            <w:tcBorders>
              <w:top w:val="nil"/>
              <w:left w:val="single" w:sz="4" w:space="0" w:color="auto"/>
              <w:bottom w:val="single" w:sz="4" w:space="0" w:color="auto"/>
              <w:right w:val="single" w:sz="4" w:space="0" w:color="auto"/>
            </w:tcBorders>
            <w:vAlign w:val="center"/>
          </w:tcPr>
          <w:p>
            <w:pPr>
              <w:widowControl w:val="0"/>
              <w:jc w:val="center"/>
              <w:rPr>
                <w:rFonts w:ascii="宋体" w:hAnsi="宋体"/>
                <w:bCs/>
                <w:color w:val="000000"/>
              </w:rPr>
            </w:pPr>
            <w:r>
              <w:rPr>
                <w:bCs/>
                <w:color w:val="000000"/>
              </w:rPr>
              <w:t>2</w:t>
            </w:r>
            <w:r>
              <w:rPr>
                <w:rFonts w:cs="Calibri" w:hint="eastAsia"/>
                <w:bCs/>
                <w:color w:val="000000"/>
              </w:rPr>
              <w:t>.</w:t>
            </w:r>
            <w:r>
              <w:rPr>
                <w:rFonts w:ascii="宋体" w:hAnsi="宋体"/>
                <w:bCs/>
                <w:color w:val="000000"/>
              </w:rPr>
              <w:t>课程体系</w:t>
            </w: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2.1课程设置</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rPr>
                <w:rFonts w:ascii="宋体" w:hAnsi="宋体"/>
                <w:bCs/>
                <w:color w:val="000000"/>
              </w:rPr>
            </w:pPr>
            <w:r>
              <w:rPr>
                <w:rFonts w:ascii="宋体" w:hAnsi="宋体" w:hint="eastAsia"/>
                <w:bCs/>
                <w:color w:val="000000"/>
              </w:rPr>
              <w:t>①按照教育部要求开齐开足公共基础必修课、限定选修课</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578"/>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rPr>
                <w:rFonts w:ascii="宋体" w:hAnsi="宋体" w:hint="eastAsia"/>
                <w:bCs/>
                <w:color w:val="000000"/>
              </w:rPr>
            </w:pPr>
            <w:r>
              <w:rPr>
                <w:rFonts w:ascii="宋体" w:hAnsi="宋体" w:hint="eastAsia"/>
                <w:bCs/>
                <w:color w:val="000000"/>
              </w:rPr>
              <w:t>②按照职业岗位（群）的能力要求，确定专业基础课程、</w:t>
            </w:r>
          </w:p>
          <w:p>
            <w:pPr>
              <w:widowControl w:val="0"/>
              <w:spacing w:before="48" w:beforeLines="20" w:after="48" w:afterLines="20"/>
              <w:rPr>
                <w:rFonts w:ascii="宋体" w:hAnsi="宋体"/>
                <w:bCs/>
                <w:color w:val="000000"/>
              </w:rPr>
            </w:pPr>
            <w:r>
              <w:rPr>
                <w:rFonts w:ascii="宋体" w:hAnsi="宋体" w:hint="eastAsia"/>
                <w:bCs/>
                <w:color w:val="000000"/>
              </w:rPr>
              <w:t>专业核心课程</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5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48" w:beforeLines="20" w:after="48" w:afterLines="20"/>
              <w:rPr>
                <w:rFonts w:ascii="宋体" w:hAnsi="宋体"/>
                <w:bCs/>
                <w:color w:val="000000"/>
              </w:rPr>
            </w:pPr>
            <w:r>
              <w:rPr>
                <w:rFonts w:ascii="宋体" w:hAnsi="宋体" w:hint="eastAsia"/>
                <w:bCs/>
                <w:color w:val="000000"/>
              </w:rPr>
              <w:t>③课程设置能有效支撑培养目标达成</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6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2.2课程描述</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cs="Calibri"/>
                <w:bCs/>
                <w:color w:val="000000"/>
              </w:rPr>
            </w:pPr>
            <w:r>
              <w:rPr>
                <w:rFonts w:ascii="宋体" w:hAnsi="宋体" w:hint="eastAsia"/>
                <w:bCs/>
                <w:color w:val="000000"/>
              </w:rPr>
              <w:t>①</w:t>
            </w:r>
            <w:r>
              <w:rPr>
                <w:rFonts w:ascii="宋体" w:hAnsi="宋体" w:cs="Calibri" w:hint="eastAsia"/>
                <w:bCs/>
                <w:color w:val="000000"/>
              </w:rPr>
              <w:t>准确描述各门课程的教学目标、教学内容和教学要求等</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r>
      <w:tr>
        <w:tblPrEx>
          <w:tblW w:w="4998" w:type="pct"/>
          <w:jc w:val="center"/>
          <w:tblCellMar>
            <w:top w:w="0" w:type="dxa"/>
            <w:left w:w="108" w:type="dxa"/>
            <w:bottom w:w="0" w:type="dxa"/>
            <w:right w:w="108" w:type="dxa"/>
          </w:tblCellMar>
        </w:tblPrEx>
        <w:trPr>
          <w:cantSplit/>
          <w:trHeight w:val="51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ascii="宋体" w:hAnsi="宋体"/>
                <w:bCs/>
                <w:color w:val="000000"/>
              </w:rPr>
            </w:pPr>
            <w:r>
              <w:rPr>
                <w:rFonts w:ascii="宋体" w:hAnsi="宋体" w:cs="Calibri" w:hint="eastAsia"/>
                <w:bCs/>
                <w:color w:val="000000"/>
              </w:rPr>
              <w:t>②专业核心课的教学内容体现职业岗位（职业标准）要求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r>
      <w:tr>
        <w:tblPrEx>
          <w:tblW w:w="4998" w:type="pct"/>
          <w:jc w:val="center"/>
          <w:tblCellMar>
            <w:top w:w="0" w:type="dxa"/>
            <w:left w:w="108" w:type="dxa"/>
            <w:bottom w:w="0" w:type="dxa"/>
            <w:right w:w="108" w:type="dxa"/>
          </w:tblCellMar>
        </w:tblPrEx>
        <w:trPr>
          <w:cantSplit/>
          <w:trHeight w:val="51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ascii="宋体" w:hAnsi="宋体"/>
                <w:bCs/>
                <w:color w:val="000000"/>
              </w:rPr>
            </w:pPr>
            <w:r>
              <w:rPr>
                <w:rFonts w:ascii="宋体" w:hAnsi="宋体" w:hint="eastAsia"/>
                <w:bCs/>
                <w:color w:val="000000"/>
              </w:rPr>
              <w:t>③</w:t>
            </w:r>
            <w:r>
              <w:rPr>
                <w:rFonts w:ascii="宋体" w:hAnsi="宋体" w:cs="Calibri" w:hint="eastAsia"/>
                <w:bCs/>
                <w:color w:val="000000"/>
              </w:rPr>
              <w:t>各门</w:t>
            </w:r>
            <w:r>
              <w:rPr>
                <w:rFonts w:ascii="宋体" w:hAnsi="宋体" w:hint="eastAsia"/>
                <w:bCs/>
                <w:color w:val="000000"/>
              </w:rPr>
              <w:t>课程的学分课时合适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r>
      <w:tr>
        <w:tblPrEx>
          <w:tblW w:w="4998" w:type="pct"/>
          <w:jc w:val="center"/>
          <w:tblCellMar>
            <w:top w:w="0" w:type="dxa"/>
            <w:left w:w="108" w:type="dxa"/>
            <w:bottom w:w="0" w:type="dxa"/>
            <w:right w:w="108" w:type="dxa"/>
          </w:tblCellMar>
        </w:tblPrEx>
        <w:trPr>
          <w:cantSplit/>
          <w:trHeight w:val="624"/>
          <w:jc w:val="center"/>
        </w:trPr>
        <w:tc>
          <w:tcPr>
            <w:tcW w:w="643" w:type="pct"/>
            <w:vMerge w:val="restart"/>
            <w:tcBorders>
              <w:top w:val="nil"/>
              <w:left w:val="single" w:sz="4" w:space="0" w:color="auto"/>
              <w:bottom w:val="single" w:sz="4" w:space="0" w:color="auto"/>
              <w:right w:val="single" w:sz="4" w:space="0" w:color="auto"/>
            </w:tcBorders>
            <w:vAlign w:val="center"/>
          </w:tcPr>
          <w:p>
            <w:pPr>
              <w:widowControl w:val="0"/>
              <w:jc w:val="center"/>
              <w:rPr>
                <w:rFonts w:ascii="宋体" w:hAnsi="宋体"/>
                <w:bCs/>
                <w:color w:val="000000"/>
              </w:rPr>
            </w:pPr>
            <w:r>
              <w:rPr>
                <w:bCs/>
                <w:color w:val="000000"/>
              </w:rPr>
              <w:t>3</w:t>
            </w:r>
            <w:r>
              <w:rPr>
                <w:rFonts w:cs="Calibri" w:hint="eastAsia"/>
                <w:bCs/>
                <w:color w:val="000000"/>
              </w:rPr>
              <w:t>.</w:t>
            </w:r>
            <w:r>
              <w:rPr>
                <w:rFonts w:ascii="宋体" w:hAnsi="宋体"/>
                <w:bCs/>
                <w:color w:val="000000"/>
              </w:rPr>
              <w:t>教学进程</w:t>
            </w: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3.1教学时量</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ascii="宋体" w:hAnsi="宋体"/>
                <w:bCs/>
                <w:color w:val="000000"/>
              </w:rPr>
            </w:pPr>
            <w:r>
              <w:rPr>
                <w:rFonts w:ascii="宋体" w:hAnsi="宋体" w:hint="eastAsia"/>
                <w:bCs/>
                <w:color w:val="000000"/>
              </w:rPr>
              <w:t>①总课时量科学合理，三年制中职总学时数不低于3000，高职专科总学时数不低于2500，职业本科总学时数不低于3200</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r>
      <w:tr>
        <w:tblPrEx>
          <w:tblW w:w="4998" w:type="pct"/>
          <w:jc w:val="center"/>
          <w:tblCellMar>
            <w:top w:w="0" w:type="dxa"/>
            <w:left w:w="108" w:type="dxa"/>
            <w:bottom w:w="0" w:type="dxa"/>
            <w:right w:w="108" w:type="dxa"/>
          </w:tblCellMar>
        </w:tblPrEx>
        <w:trPr>
          <w:cantSplit/>
          <w:trHeight w:val="648"/>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ascii="宋体" w:hAnsi="宋体"/>
                <w:bCs/>
                <w:color w:val="000000"/>
              </w:rPr>
            </w:pPr>
            <w:r>
              <w:rPr>
                <w:rFonts w:ascii="宋体" w:hAnsi="宋体" w:cs="Calibri" w:hint="eastAsia"/>
                <w:bCs/>
                <w:color w:val="000000"/>
              </w:rPr>
              <w:t>②</w:t>
            </w:r>
            <w:r>
              <w:rPr>
                <w:rFonts w:ascii="宋体" w:hAnsi="宋体" w:hint="eastAsia"/>
                <w:bCs/>
                <w:color w:val="000000"/>
              </w:rPr>
              <w:t>各门课程之间、各模块之间及理论课与实践课的课时比例分配科学合理</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r>
      <w:tr>
        <w:tblPrEx>
          <w:tblW w:w="4998" w:type="pct"/>
          <w:jc w:val="center"/>
          <w:tblCellMar>
            <w:top w:w="0" w:type="dxa"/>
            <w:left w:w="108" w:type="dxa"/>
            <w:bottom w:w="0" w:type="dxa"/>
            <w:right w:w="108" w:type="dxa"/>
          </w:tblCellMar>
        </w:tblPrEx>
        <w:trPr>
          <w:cantSplit/>
          <w:trHeight w:val="898"/>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ascii="宋体" w:eastAsia="宋体" w:hAnsi="宋体" w:hint="eastAsia"/>
                <w:bCs/>
                <w:color w:val="000000"/>
                <w:lang w:eastAsia="zh-CN"/>
              </w:rPr>
            </w:pPr>
            <w:r>
              <w:rPr>
                <w:rFonts w:ascii="宋体" w:hAnsi="宋体" w:hint="eastAsia"/>
                <w:bCs/>
                <w:color w:val="000000"/>
              </w:rPr>
              <w:t>③实践性教学学时原则上</w:t>
            </w:r>
            <w:r>
              <w:rPr>
                <w:rFonts w:ascii="宋体" w:hAnsi="宋体" w:hint="eastAsia"/>
                <w:bCs/>
                <w:color w:val="000000"/>
                <w:lang w:val="en-US" w:eastAsia="zh-CN"/>
              </w:rPr>
              <w:t>中职、</w:t>
            </w:r>
            <w:bookmarkStart w:id="0" w:name="_GoBack"/>
            <w:bookmarkEnd w:id="0"/>
            <w:r>
              <w:rPr>
                <w:rFonts w:ascii="宋体" w:hAnsi="宋体" w:hint="eastAsia"/>
                <w:bCs/>
                <w:color w:val="000000"/>
                <w:lang w:val="en-US" w:eastAsia="zh-CN"/>
              </w:rPr>
              <w:t>高职专科</w:t>
            </w:r>
            <w:r>
              <w:rPr>
                <w:rFonts w:ascii="宋体" w:hAnsi="宋体" w:hint="eastAsia"/>
                <w:bCs/>
                <w:color w:val="000000"/>
              </w:rPr>
              <w:t>上不少于总学时的 50%</w:t>
            </w:r>
            <w:r>
              <w:rPr>
                <w:rFonts w:ascii="宋体" w:hAnsi="宋体" w:hint="eastAsia"/>
                <w:bCs/>
                <w:color w:val="000000"/>
                <w:lang w:eastAsia="zh-CN"/>
              </w:rPr>
              <w:t>，</w:t>
            </w:r>
            <w:r>
              <w:rPr>
                <w:rFonts w:ascii="宋体" w:hAnsi="宋体" w:hint="eastAsia"/>
                <w:bCs/>
                <w:color w:val="000000"/>
                <w:lang w:val="en-US" w:eastAsia="zh-CN"/>
              </w:rPr>
              <w:t>高职本科</w:t>
            </w:r>
            <w:r>
              <w:rPr>
                <w:rFonts w:ascii="宋体" w:hAnsi="宋体" w:hint="eastAsia"/>
                <w:bCs/>
                <w:color w:val="000000"/>
              </w:rPr>
              <w:t>不少于总学时的 60%</w:t>
            </w:r>
            <w:r>
              <w:rPr>
                <w:rFonts w:ascii="宋体" w:hAnsi="宋体" w:hint="eastAsia"/>
                <w:bCs/>
                <w:color w:val="000000"/>
              </w:rPr>
              <w:t>。学生岗位实习时间一般为6个月</w:t>
            </w:r>
            <w:r>
              <w:rPr>
                <w:rFonts w:ascii="宋体" w:hAnsi="宋体" w:hint="eastAsia"/>
                <w:bCs/>
                <w:color w:val="000000"/>
                <w:lang w:eastAsia="zh-CN"/>
              </w:rPr>
              <w:t>。</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cs="Calibri"/>
                <w:bCs/>
                <w:color w:val="000000"/>
              </w:rPr>
            </w:pPr>
          </w:p>
        </w:tc>
      </w:tr>
      <w:tr>
        <w:tblPrEx>
          <w:tblW w:w="4998" w:type="pct"/>
          <w:jc w:val="center"/>
          <w:tblCellMar>
            <w:top w:w="0" w:type="dxa"/>
            <w:left w:w="108" w:type="dxa"/>
            <w:bottom w:w="0" w:type="dxa"/>
            <w:right w:w="108" w:type="dxa"/>
          </w:tblCellMar>
        </w:tblPrEx>
        <w:trPr>
          <w:cantSplit/>
          <w:trHeight w:val="48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hAnsi="宋体"/>
                <w:bCs/>
                <w:color w:val="000000"/>
              </w:rPr>
            </w:pPr>
            <w:r>
              <w:rPr>
                <w:rFonts w:ascii="宋体" w:hAnsi="宋体" w:hint="eastAsia"/>
                <w:bCs/>
                <w:color w:val="000000"/>
              </w:rPr>
              <w:t>3.2进程安排</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rPr>
                <w:rFonts w:cs="Calibri"/>
                <w:bCs/>
                <w:color w:val="000000"/>
              </w:rPr>
            </w:pPr>
            <w:r>
              <w:rPr>
                <w:rFonts w:ascii="宋体" w:hAnsi="宋体" w:hint="eastAsia"/>
                <w:bCs/>
                <w:color w:val="000000"/>
              </w:rPr>
              <w:t>①课程结构安排科学合理，课程前后逻辑关系清晰准确</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62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center"/>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before="96" w:beforeLines="40" w:after="72" w:afterLines="30" w:line="280" w:lineRule="exact"/>
              <w:rPr>
                <w:rFonts w:ascii="宋体" w:hAnsi="宋体"/>
                <w:bCs/>
                <w:color w:val="000000"/>
              </w:rPr>
            </w:pPr>
            <w:r>
              <w:rPr>
                <w:rFonts w:ascii="宋体" w:hAnsi="宋体" w:cs="Calibri" w:hint="eastAsia"/>
                <w:bCs/>
                <w:color w:val="000000"/>
              </w:rPr>
              <w:t>②</w:t>
            </w:r>
            <w:r>
              <w:rPr>
                <w:rFonts w:ascii="宋体" w:hAnsi="宋体" w:hint="eastAsia"/>
                <w:bCs/>
                <w:color w:val="000000"/>
              </w:rPr>
              <w:t>课程安排与课程设置、课程描述等前后保持一致，课程有效支撑专业人才培养规格和培养目标达成</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544"/>
          <w:jc w:val="center"/>
        </w:trPr>
        <w:tc>
          <w:tcPr>
            <w:tcW w:w="643" w:type="pct"/>
            <w:vMerge w:val="restart"/>
            <w:tcBorders>
              <w:top w:val="nil"/>
              <w:left w:val="single" w:sz="4" w:space="0" w:color="auto"/>
              <w:bottom w:val="single" w:sz="4" w:space="0" w:color="auto"/>
              <w:right w:val="single" w:sz="4" w:space="0" w:color="auto"/>
            </w:tcBorders>
            <w:vAlign w:val="center"/>
          </w:tcPr>
          <w:p>
            <w:pPr>
              <w:widowControl w:val="0"/>
              <w:jc w:val="center"/>
              <w:rPr>
                <w:rFonts w:ascii="宋体" w:eastAsia="宋体" w:hAnsi="宋体" w:hint="default"/>
                <w:bCs/>
                <w:color w:val="000000"/>
                <w:lang w:val="en-US" w:eastAsia="zh-CN"/>
              </w:rPr>
            </w:pPr>
            <w:r>
              <w:rPr>
                <w:bCs/>
                <w:color w:val="000000"/>
              </w:rPr>
              <w:t>4</w:t>
            </w:r>
            <w:r>
              <w:rPr>
                <w:rFonts w:cs="Calibri" w:hint="eastAsia"/>
                <w:bCs/>
                <w:color w:val="000000"/>
              </w:rPr>
              <w:t>.</w:t>
            </w:r>
            <w:r>
              <w:rPr>
                <w:rFonts w:ascii="宋体" w:hAnsi="宋体" w:hint="eastAsia"/>
                <w:bCs/>
                <w:color w:val="000000"/>
                <w:lang w:val="en-US" w:eastAsia="zh-CN"/>
              </w:rPr>
              <w:t>师资队伍</w:t>
            </w:r>
          </w:p>
        </w:tc>
        <w:tc>
          <w:tcPr>
            <w:tcW w:w="615" w:type="pct"/>
            <w:vMerge w:val="restart"/>
            <w:tcBorders>
              <w:top w:val="nil"/>
              <w:left w:val="single" w:sz="4" w:space="0" w:color="auto"/>
              <w:bottom w:val="single" w:sz="4" w:space="0" w:color="auto"/>
              <w:right w:val="single" w:sz="4" w:space="0" w:color="auto"/>
            </w:tcBorders>
            <w:vAlign w:val="center"/>
          </w:tcPr>
          <w:p>
            <w:pPr>
              <w:widowControl w:val="0"/>
              <w:spacing w:line="280" w:lineRule="exact"/>
              <w:jc w:val="center"/>
              <w:rPr>
                <w:rFonts w:ascii="宋体" w:eastAsia="宋体" w:hAnsi="宋体" w:hint="default"/>
                <w:bCs/>
                <w:color w:val="000000"/>
                <w:lang w:val="en-US" w:eastAsia="zh-CN"/>
              </w:rPr>
            </w:pPr>
            <w:r>
              <w:rPr>
                <w:rFonts w:ascii="宋体" w:hAnsi="宋体" w:hint="eastAsia"/>
                <w:bCs/>
                <w:color w:val="000000"/>
                <w:lang w:val="en-US" w:eastAsia="zh-CN"/>
              </w:rPr>
              <w:t>-</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r>
              <w:rPr>
                <w:rFonts w:ascii="宋体" w:hAnsi="宋体" w:hint="eastAsia"/>
                <w:bCs/>
                <w:color w:val="000000"/>
              </w:rPr>
              <w:t>①根据办学规模科学合理提出师资队伍配置要求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9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r>
              <w:rPr>
                <w:rFonts w:ascii="宋体" w:hAnsi="宋体" w:hint="eastAsia"/>
                <w:bCs/>
                <w:color w:val="000000"/>
              </w:rPr>
              <w:t>②</w:t>
            </w:r>
            <w:r>
              <w:rPr>
                <w:rFonts w:ascii="宋体" w:hAnsi="宋体" w:hint="eastAsia"/>
                <w:bCs/>
                <w:color w:val="000000"/>
                <w:lang w:val="en-US" w:eastAsia="zh-CN"/>
              </w:rPr>
              <w:t>专业负责人、</w:t>
            </w:r>
            <w:r>
              <w:rPr>
                <w:rFonts w:ascii="宋体" w:hAnsi="宋体" w:hint="eastAsia"/>
                <w:bCs/>
                <w:color w:val="000000"/>
              </w:rPr>
              <w:t>专</w:t>
            </w:r>
            <w:r>
              <w:rPr>
                <w:rFonts w:ascii="宋体" w:hAnsi="宋体" w:hint="eastAsia"/>
                <w:bCs/>
                <w:color w:val="000000"/>
                <w:lang w:val="en-US" w:eastAsia="zh-CN"/>
              </w:rPr>
              <w:t>任</w:t>
            </w:r>
            <w:r>
              <w:rPr>
                <w:rFonts w:ascii="宋体" w:hAnsi="宋体" w:hint="eastAsia"/>
                <w:bCs/>
                <w:color w:val="000000"/>
              </w:rPr>
              <w:t>教师</w:t>
            </w:r>
            <w:r>
              <w:rPr>
                <w:rFonts w:ascii="宋体" w:hAnsi="宋体" w:hint="eastAsia"/>
                <w:bCs/>
                <w:color w:val="000000"/>
                <w:lang w:eastAsia="zh-CN"/>
              </w:rPr>
              <w:t>、</w:t>
            </w:r>
            <w:r>
              <w:rPr>
                <w:rFonts w:ascii="宋体" w:hAnsi="宋体" w:hint="eastAsia"/>
                <w:bCs/>
                <w:color w:val="000000"/>
                <w:lang w:val="en-US" w:eastAsia="zh-CN"/>
              </w:rPr>
              <w:t>兼职教师</w:t>
            </w:r>
            <w:r>
              <w:rPr>
                <w:rFonts w:ascii="宋体" w:hAnsi="宋体" w:hint="eastAsia"/>
                <w:bCs/>
                <w:color w:val="000000"/>
              </w:rPr>
              <w:t>要求明确、合理</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64"/>
          <w:jc w:val="center"/>
        </w:trPr>
        <w:tc>
          <w:tcPr>
            <w:tcW w:w="643"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nil"/>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r>
              <w:rPr>
                <w:rFonts w:ascii="宋体" w:hAnsi="宋体" w:hint="eastAsia"/>
                <w:bCs/>
                <w:color w:val="000000"/>
              </w:rPr>
              <w:t>③有对教师队伍师德师风和双师素养的要求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624"/>
          <w:jc w:val="center"/>
        </w:trPr>
        <w:tc>
          <w:tcPr>
            <w:tcW w:w="643" w:type="pct"/>
            <w:vMerge w:val="restart"/>
            <w:tcBorders>
              <w:top w:val="nil"/>
              <w:left w:val="single" w:sz="4" w:space="0" w:color="auto"/>
              <w:right w:val="single" w:sz="4" w:space="0" w:color="auto"/>
            </w:tcBorders>
            <w:vAlign w:val="center"/>
          </w:tcPr>
          <w:p>
            <w:pPr>
              <w:jc w:val="center"/>
              <w:textAlignment w:val="auto"/>
              <w:rPr>
                <w:rFonts w:ascii="宋体" w:eastAsia="宋体" w:hAnsi="宋体" w:hint="default"/>
                <w:bCs/>
                <w:color w:val="000000"/>
                <w:lang w:val="en-US" w:eastAsia="zh-CN"/>
              </w:rPr>
            </w:pPr>
            <w:r>
              <w:rPr>
                <w:rFonts w:ascii="宋体" w:hAnsi="宋体" w:hint="eastAsia"/>
                <w:bCs/>
                <w:color w:val="000000"/>
                <w:lang w:val="en-US" w:eastAsia="zh-CN"/>
              </w:rPr>
              <w:t>5.教学条件</w:t>
            </w:r>
          </w:p>
        </w:tc>
        <w:tc>
          <w:tcPr>
            <w:tcW w:w="615" w:type="pct"/>
            <w:vMerge w:val="restart"/>
            <w:tcBorders>
              <w:top w:val="nil"/>
              <w:left w:val="single" w:sz="4" w:space="0" w:color="auto"/>
              <w:right w:val="single" w:sz="4" w:space="0" w:color="auto"/>
            </w:tcBorders>
            <w:vAlign w:val="center"/>
          </w:tcPr>
          <w:p>
            <w:pPr>
              <w:jc w:val="left"/>
              <w:textAlignment w:val="auto"/>
              <w:rPr>
                <w:rFonts w:ascii="宋体" w:eastAsia="宋体" w:hAnsi="宋体" w:hint="default"/>
                <w:bCs/>
                <w:color w:val="000000"/>
                <w:lang w:val="en-US" w:eastAsia="zh-CN"/>
              </w:rPr>
            </w:pPr>
            <w:r>
              <w:rPr>
                <w:rFonts w:ascii="宋体" w:hAnsi="宋体" w:hint="eastAsia"/>
                <w:bCs/>
                <w:color w:val="000000"/>
                <w:lang w:val="en-US" w:eastAsia="zh-CN"/>
              </w:rPr>
              <w:t>5.1教学设施</w:t>
            </w:r>
          </w:p>
        </w:tc>
        <w:tc>
          <w:tcPr>
            <w:tcW w:w="23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line="280" w:lineRule="exact"/>
              <w:rPr>
                <w:rFonts w:ascii="宋体" w:eastAsia="宋体" w:hAnsi="宋体" w:cs="Times New Roman" w:hint="eastAsia"/>
                <w:bCs/>
                <w:color w:val="000000"/>
                <w:kern w:val="2"/>
                <w:sz w:val="21"/>
                <w:szCs w:val="21"/>
                <w:lang w:val="en-US" w:eastAsia="zh-CN" w:bidi="ar-SA"/>
                <w14:ligatures w14:val="standardContextual"/>
              </w:rPr>
            </w:pPr>
            <w:r>
              <w:rPr>
                <w:rFonts w:ascii="宋体" w:hAnsi="宋体" w:hint="eastAsia"/>
                <w:bCs/>
                <w:color w:val="000000"/>
              </w:rPr>
              <w:t>①根据办学规模和专业特点科学合理提出校内外实习实训条件配置要求，实训基地有效支撑课程实施</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624"/>
          <w:jc w:val="center"/>
        </w:trPr>
        <w:tc>
          <w:tcPr>
            <w:tcW w:w="643" w:type="pct"/>
            <w:vMerge/>
            <w:tcBorders>
              <w:left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left w:val="single" w:sz="4" w:space="0" w:color="auto"/>
              <w:bottom w:val="single" w:sz="4" w:space="0" w:color="auto"/>
              <w:right w:val="single" w:sz="4" w:space="0" w:color="auto"/>
            </w:tcBorders>
            <w:vAlign w:val="center"/>
          </w:tcPr>
          <w:p>
            <w:pPr>
              <w:jc w:val="left"/>
              <w:textAlignment w:val="auto"/>
              <w:rPr>
                <w:rFonts w:ascii="宋体" w:hAnsi="宋体" w:hint="eastAsia"/>
                <w:bCs/>
                <w:color w:val="000000"/>
              </w:rPr>
            </w:pPr>
          </w:p>
        </w:tc>
        <w:tc>
          <w:tcPr>
            <w:tcW w:w="2326" w:type="pct"/>
            <w:tcBorders>
              <w:top w:val="single" w:sz="4" w:space="0" w:color="auto"/>
              <w:left w:val="single" w:sz="4" w:space="0" w:color="auto"/>
              <w:bottom w:val="single" w:sz="4" w:space="0" w:color="auto"/>
              <w:right w:val="single" w:sz="4" w:space="0" w:color="auto"/>
            </w:tcBorders>
            <w:shd w:val="clear" w:color="auto" w:fill="auto"/>
            <w:vAlign w:val="center"/>
          </w:tcPr>
          <w:p>
            <w:pPr>
              <w:widowControl w:val="0"/>
              <w:spacing w:line="280" w:lineRule="exact"/>
              <w:rPr>
                <w:rFonts w:ascii="宋体" w:eastAsia="宋体" w:hAnsi="宋体" w:cs="Times New Roman" w:hint="eastAsia"/>
                <w:bCs/>
                <w:color w:val="000000"/>
                <w:kern w:val="2"/>
                <w:sz w:val="21"/>
                <w:szCs w:val="21"/>
                <w:lang w:val="en-US" w:eastAsia="zh-CN" w:bidi="ar-SA"/>
                <w14:ligatures w14:val="standardContextual"/>
              </w:rPr>
            </w:pPr>
            <w:r>
              <w:rPr>
                <w:rFonts w:ascii="宋体" w:hAnsi="宋体" w:hint="eastAsia"/>
                <w:bCs/>
                <w:color w:val="000000"/>
              </w:rPr>
              <w:t>②各实训基地工位数量、实训项目、支撑课程等配置要求明确、具体</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64"/>
          <w:jc w:val="center"/>
        </w:trPr>
        <w:tc>
          <w:tcPr>
            <w:tcW w:w="643" w:type="pct"/>
            <w:vMerge/>
            <w:tcBorders>
              <w:left w:val="single" w:sz="4" w:space="0" w:color="auto"/>
              <w:right w:val="single" w:sz="4" w:space="0" w:color="auto"/>
            </w:tcBorders>
            <w:vAlign w:val="center"/>
          </w:tcPr>
          <w:p>
            <w:pPr>
              <w:jc w:val="left"/>
              <w:textAlignment w:val="auto"/>
              <w:rPr>
                <w:rFonts w:ascii="宋体" w:hAnsi="宋体"/>
                <w:bCs/>
                <w:color w:val="000000"/>
              </w:rPr>
            </w:pPr>
          </w:p>
        </w:tc>
        <w:tc>
          <w:tcPr>
            <w:tcW w:w="615" w:type="pct"/>
            <w:vMerge w:val="restar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r>
              <w:rPr>
                <w:rFonts w:ascii="宋体" w:hAnsi="宋体" w:hint="eastAsia"/>
                <w:bCs/>
                <w:color w:val="000000"/>
                <w:lang w:val="en-US" w:eastAsia="zh-CN"/>
              </w:rPr>
              <w:t>5.2</w:t>
            </w:r>
            <w:r>
              <w:rPr>
                <w:rFonts w:ascii="宋体" w:hAnsi="宋体" w:hint="eastAsia"/>
                <w:bCs/>
                <w:color w:val="000000"/>
              </w:rPr>
              <w:t>教学资源</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r>
              <w:rPr>
                <w:rFonts w:ascii="宋体" w:hAnsi="宋体" w:hint="eastAsia"/>
                <w:bCs/>
                <w:color w:val="000000"/>
              </w:rPr>
              <w:t>①根据专业特点科学合理提出教材、图书及数字化资源</w:t>
            </w:r>
            <w:r>
              <w:rPr>
                <w:rFonts w:ascii="宋体" w:hAnsi="宋体" w:hint="eastAsia"/>
                <w:bCs/>
                <w:color w:val="000000"/>
                <w:lang w:val="en-US" w:eastAsia="zh-CN"/>
              </w:rPr>
              <w:t>等</w:t>
            </w:r>
            <w:r>
              <w:rPr>
                <w:rFonts w:ascii="宋体" w:hAnsi="宋体" w:hint="eastAsia"/>
                <w:bCs/>
                <w:color w:val="000000"/>
              </w:rPr>
              <w:t>教学资源配置要求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54"/>
          <w:jc w:val="center"/>
        </w:trPr>
        <w:tc>
          <w:tcPr>
            <w:tcW w:w="643" w:type="pct"/>
            <w:vMerge/>
            <w:tcBorders>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615" w:type="pct"/>
            <w:vMerge/>
            <w:tcBorders>
              <w:top w:val="single" w:sz="4" w:space="0" w:color="auto"/>
              <w:left w:val="single" w:sz="4" w:space="0" w:color="auto"/>
              <w:bottom w:val="single" w:sz="4" w:space="0" w:color="auto"/>
              <w:right w:val="single" w:sz="4" w:space="0" w:color="auto"/>
            </w:tcBorders>
            <w:vAlign w:val="center"/>
          </w:tcPr>
          <w:p>
            <w:pPr>
              <w:jc w:val="left"/>
              <w:textAlignment w:val="auto"/>
              <w:rPr>
                <w:rFonts w:ascii="宋体" w:hAnsi="宋体"/>
                <w:bCs/>
                <w:color w:val="000000"/>
              </w:rPr>
            </w:pP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r>
              <w:rPr>
                <w:rFonts w:ascii="宋体" w:hAnsi="宋体" w:hint="eastAsia"/>
                <w:bCs/>
                <w:color w:val="000000"/>
              </w:rPr>
              <w:t>②教材、图书及数字化资源</w:t>
            </w:r>
            <w:r>
              <w:rPr>
                <w:rFonts w:ascii="宋体" w:hAnsi="宋体" w:hint="eastAsia"/>
                <w:bCs/>
                <w:color w:val="000000"/>
                <w:lang w:val="en-US" w:eastAsia="zh-CN"/>
              </w:rPr>
              <w:t>等</w:t>
            </w:r>
            <w:r>
              <w:rPr>
                <w:rFonts w:ascii="宋体" w:hAnsi="宋体" w:hint="eastAsia"/>
                <w:bCs/>
                <w:color w:val="000000"/>
              </w:rPr>
              <w:t>教学资源配置有效支撑专业课程教学改革与实施</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464"/>
          <w:jc w:val="center"/>
        </w:trPr>
        <w:tc>
          <w:tcPr>
            <w:tcW w:w="643" w:type="pct"/>
            <w:tcBorders>
              <w:top w:val="single" w:sz="4" w:space="0" w:color="auto"/>
              <w:left w:val="single" w:sz="4" w:space="0" w:color="auto"/>
              <w:right w:val="single" w:sz="4" w:space="0" w:color="auto"/>
            </w:tcBorders>
            <w:vAlign w:val="center"/>
          </w:tcPr>
          <w:p>
            <w:pPr>
              <w:jc w:val="center"/>
              <w:textAlignment w:val="auto"/>
              <w:rPr>
                <w:rFonts w:ascii="宋体" w:eastAsia="宋体" w:hAnsi="宋体" w:hint="default"/>
                <w:bCs/>
                <w:color w:val="000000"/>
                <w:lang w:val="en-US" w:eastAsia="zh-CN"/>
              </w:rPr>
            </w:pPr>
            <w:r>
              <w:rPr>
                <w:rFonts w:ascii="宋体" w:hAnsi="宋体" w:hint="eastAsia"/>
                <w:bCs/>
                <w:color w:val="000000"/>
                <w:lang w:val="en-US" w:eastAsia="zh-CN"/>
              </w:rPr>
              <w:t>6.质量保障</w:t>
            </w:r>
          </w:p>
        </w:tc>
        <w:tc>
          <w:tcPr>
            <w:tcW w:w="615"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jc w:val="center"/>
              <w:rPr>
                <w:rFonts w:ascii="宋体" w:eastAsia="宋体" w:hAnsi="宋体" w:hint="eastAsia"/>
                <w:bCs/>
                <w:color w:val="000000"/>
                <w:lang w:val="en-US" w:eastAsia="zh-CN"/>
              </w:rPr>
            </w:pPr>
            <w:r>
              <w:rPr>
                <w:rFonts w:ascii="宋体" w:hAnsi="宋体" w:hint="eastAsia"/>
                <w:bCs/>
                <w:color w:val="000000"/>
                <w:lang w:val="en-US" w:eastAsia="zh-CN"/>
              </w:rPr>
              <w:t>-</w:t>
            </w:r>
          </w:p>
        </w:tc>
        <w:tc>
          <w:tcPr>
            <w:tcW w:w="2326" w:type="pct"/>
            <w:tcBorders>
              <w:top w:val="single" w:sz="4" w:space="0" w:color="auto"/>
              <w:left w:val="single" w:sz="4" w:space="0" w:color="auto"/>
              <w:bottom w:val="single" w:sz="4" w:space="0" w:color="auto"/>
              <w:right w:val="single" w:sz="4" w:space="0" w:color="auto"/>
            </w:tcBorders>
            <w:vAlign w:val="center"/>
          </w:tcPr>
          <w:p>
            <w:pPr>
              <w:pStyle w:val="1"/>
              <w:widowControl w:val="0"/>
              <w:spacing w:line="280" w:lineRule="exact"/>
              <w:ind w:firstLine="0" w:firstLineChars="0"/>
              <w:rPr>
                <w:rFonts w:ascii="宋体" w:eastAsia="宋体" w:hAnsi="宋体" w:cs="Times New Roman" w:hint="default"/>
                <w:bCs/>
                <w:color w:val="000000"/>
                <w:kern w:val="2"/>
                <w:sz w:val="21"/>
                <w:szCs w:val="21"/>
                <w:lang w:val="en-US" w:eastAsia="zh-CN" w:bidi="ar-SA"/>
                <w14:ligatures w14:val="standardContextual"/>
              </w:rPr>
            </w:pPr>
            <w:r>
              <w:rPr>
                <w:rFonts w:ascii="宋体" w:eastAsia="宋体" w:hAnsi="宋体" w:cs="Times New Roman" w:hint="eastAsia"/>
                <w:bCs/>
                <w:color w:val="000000"/>
                <w:kern w:val="2"/>
                <w:sz w:val="21"/>
                <w:szCs w:val="21"/>
                <w:lang w:val="en-US" w:eastAsia="zh-CN" w:bidi="ar-SA"/>
                <w14:ligatures w14:val="standardContextual"/>
              </w:rPr>
              <w:t>质量保障机制完善，要求明确</w:t>
            </w:r>
            <w:r>
              <w:rPr>
                <w:rFonts w:ascii="宋体" w:hAnsi="宋体" w:cs="Times New Roman" w:hint="eastAsia"/>
                <w:bCs/>
                <w:color w:val="000000"/>
                <w:kern w:val="2"/>
                <w:sz w:val="21"/>
                <w:szCs w:val="21"/>
                <w:lang w:val="en-US" w:eastAsia="zh-CN" w:bidi="ar-SA"/>
                <w14:ligatures w14:val="standardContextual"/>
              </w:rPr>
              <w:t>，包含但不限于院校二级管理、教研制度、毕业生跟踪反馈机制和社会评价机制</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624"/>
          <w:jc w:val="center"/>
        </w:trPr>
        <w:tc>
          <w:tcPr>
            <w:tcW w:w="643" w:type="pct"/>
            <w:tcBorders>
              <w:top w:val="single" w:sz="4" w:space="0" w:color="auto"/>
              <w:left w:val="single" w:sz="4" w:space="0" w:color="auto"/>
              <w:bottom w:val="single" w:sz="4" w:space="0" w:color="auto"/>
              <w:right w:val="single" w:sz="4" w:space="0" w:color="auto"/>
            </w:tcBorders>
            <w:vAlign w:val="center"/>
          </w:tcPr>
          <w:p>
            <w:pPr>
              <w:jc w:val="center"/>
              <w:textAlignment w:val="auto"/>
              <w:rPr>
                <w:rFonts w:ascii="宋体" w:eastAsia="宋体" w:hAnsi="宋体" w:hint="default"/>
                <w:bCs/>
                <w:color w:val="000000"/>
                <w:lang w:val="en-US" w:eastAsia="zh-CN"/>
              </w:rPr>
            </w:pPr>
            <w:r>
              <w:rPr>
                <w:rFonts w:ascii="宋体" w:hAnsi="宋体" w:hint="eastAsia"/>
                <w:bCs/>
                <w:color w:val="000000"/>
                <w:lang w:val="en-US" w:eastAsia="zh-CN"/>
              </w:rPr>
              <w:t>7.毕业条件</w:t>
            </w:r>
          </w:p>
        </w:tc>
        <w:tc>
          <w:tcPr>
            <w:tcW w:w="615" w:type="pct"/>
            <w:tcBorders>
              <w:top w:val="single" w:sz="4" w:space="0" w:color="auto"/>
              <w:left w:val="single" w:sz="4" w:space="0" w:color="auto"/>
              <w:bottom w:val="single" w:sz="4" w:space="0" w:color="auto"/>
              <w:right w:val="single" w:sz="4" w:space="0" w:color="auto"/>
            </w:tcBorders>
            <w:vAlign w:val="center"/>
          </w:tcPr>
          <w:p>
            <w:pPr>
              <w:jc w:val="center"/>
              <w:textAlignment w:val="auto"/>
              <w:rPr>
                <w:rFonts w:ascii="宋体" w:eastAsia="宋体" w:hAnsi="宋体" w:hint="eastAsia"/>
                <w:bCs/>
                <w:color w:val="000000"/>
                <w:lang w:val="en-US" w:eastAsia="zh-CN"/>
              </w:rPr>
            </w:pPr>
            <w:r>
              <w:rPr>
                <w:rFonts w:ascii="宋体" w:hAnsi="宋体" w:hint="eastAsia"/>
                <w:bCs/>
                <w:color w:val="000000"/>
                <w:lang w:val="en-US" w:eastAsia="zh-CN"/>
              </w:rPr>
              <w:t>-</w:t>
            </w:r>
          </w:p>
        </w:tc>
        <w:tc>
          <w:tcPr>
            <w:tcW w:w="232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hint="default"/>
                <w:bCs/>
                <w:color w:val="000000"/>
                <w:lang w:val="en-US" w:eastAsia="zh-CN"/>
              </w:rPr>
            </w:pPr>
            <w:r>
              <w:rPr>
                <w:rFonts w:ascii="宋体" w:hAnsi="宋体" w:hint="eastAsia"/>
                <w:bCs/>
                <w:color w:val="000000"/>
                <w:lang w:val="en-US" w:eastAsia="zh-CN"/>
              </w:rPr>
              <w:t>毕业要求清晰，有学习要求和考核要求、学习成果转化等细化要求</w:t>
            </w:r>
          </w:p>
        </w:tc>
        <w:tc>
          <w:tcPr>
            <w:tcW w:w="566"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c>
          <w:tcPr>
            <w:tcW w:w="848" w:type="pct"/>
            <w:tcBorders>
              <w:top w:val="single" w:sz="4" w:space="0" w:color="auto"/>
              <w:left w:val="single" w:sz="4" w:space="0" w:color="auto"/>
              <w:bottom w:val="single" w:sz="4" w:space="0" w:color="auto"/>
              <w:right w:val="single" w:sz="4" w:space="0" w:color="auto"/>
            </w:tcBorders>
            <w:vAlign w:val="center"/>
          </w:tcPr>
          <w:p>
            <w:pPr>
              <w:widowControl w:val="0"/>
              <w:spacing w:line="280" w:lineRule="exact"/>
              <w:rPr>
                <w:rFonts w:ascii="宋体" w:hAnsi="宋体"/>
                <w:bCs/>
                <w:color w:val="000000"/>
              </w:rPr>
            </w:pPr>
          </w:p>
        </w:tc>
      </w:tr>
      <w:tr>
        <w:tblPrEx>
          <w:tblW w:w="4998" w:type="pct"/>
          <w:jc w:val="center"/>
          <w:tblCellMar>
            <w:top w:w="0" w:type="dxa"/>
            <w:left w:w="108" w:type="dxa"/>
            <w:bottom w:w="0" w:type="dxa"/>
            <w:right w:w="108" w:type="dxa"/>
          </w:tblCellMar>
        </w:tblPrEx>
        <w:trPr>
          <w:cantSplit/>
          <w:trHeight w:val="624"/>
          <w:jc w:val="center"/>
        </w:trPr>
        <w:tc>
          <w:tcPr>
            <w:tcW w:w="643" w:type="pct"/>
            <w:tcBorders>
              <w:top w:val="nil"/>
              <w:left w:val="single" w:sz="4" w:space="0" w:color="auto"/>
              <w:bottom w:val="single" w:sz="4" w:space="0" w:color="auto"/>
              <w:right w:val="single" w:sz="4" w:space="0" w:color="auto"/>
            </w:tcBorders>
            <w:vAlign w:val="center"/>
          </w:tcPr>
          <w:p>
            <w:pPr>
              <w:jc w:val="center"/>
              <w:textAlignment w:val="auto"/>
              <w:rPr>
                <w:rFonts w:ascii="宋体" w:eastAsia="宋体" w:hAnsi="宋体" w:hint="default"/>
                <w:bCs/>
                <w:color w:val="000000"/>
                <w:lang w:val="en-US" w:eastAsia="zh-CN"/>
              </w:rPr>
            </w:pPr>
            <w:r>
              <w:rPr>
                <w:rFonts w:ascii="宋体" w:hAnsi="宋体" w:hint="eastAsia"/>
                <w:bCs/>
                <w:color w:val="000000"/>
                <w:lang w:val="en-US" w:eastAsia="zh-CN"/>
              </w:rPr>
              <w:t>总体评价</w:t>
            </w:r>
          </w:p>
        </w:tc>
        <w:tc>
          <w:tcPr>
            <w:tcW w:w="4356" w:type="pct"/>
            <w:gridSpan w:val="4"/>
            <w:tcBorders>
              <w:top w:val="nil"/>
              <w:left w:val="single" w:sz="4" w:space="0" w:color="auto"/>
              <w:bottom w:val="single" w:sz="4" w:space="0" w:color="auto"/>
              <w:right w:val="single" w:sz="4" w:space="0" w:color="auto"/>
            </w:tcBorders>
            <w:vAlign w:val="center"/>
          </w:tcPr>
          <w:p>
            <w:pPr>
              <w:widowControl w:val="0"/>
              <w:spacing w:line="280" w:lineRule="exact"/>
              <w:rPr>
                <w:rFonts w:ascii="宋体" w:hAnsi="宋体" w:hint="eastAsia"/>
                <w:bCs/>
                <w:color w:val="000000"/>
                <w:lang w:val="en-US" w:eastAsia="zh-CN"/>
              </w:rPr>
            </w:pPr>
            <w:r>
              <w:rPr>
                <w:rFonts w:ascii="宋体" w:hAnsi="宋体" w:hint="eastAsia"/>
                <w:bCs/>
                <w:color w:val="000000"/>
                <w:lang w:val="en-US" w:eastAsia="zh-CN"/>
              </w:rPr>
              <w:t>请根据《教育部关于职业院校专业人才培养方案制定与实施的指导性意见》《职业教育专业教学标准-2025年修(制)订》等文件的标准和要求，给出总体评价意见。</w:t>
            </w:r>
          </w:p>
          <w:p>
            <w:pPr>
              <w:widowControl w:val="0"/>
              <w:spacing w:line="280" w:lineRule="exact"/>
              <w:rPr>
                <w:rFonts w:ascii="宋体" w:hAnsi="宋体" w:hint="eastAsia"/>
                <w:bCs/>
                <w:color w:val="000000"/>
                <w:lang w:val="en-US" w:eastAsia="zh-CN"/>
              </w:rPr>
            </w:pPr>
          </w:p>
          <w:p>
            <w:pPr>
              <w:widowControl w:val="0"/>
              <w:spacing w:line="280" w:lineRule="exact"/>
              <w:rPr>
                <w:rFonts w:ascii="宋体" w:hAnsi="宋体" w:hint="eastAsia"/>
                <w:bCs/>
                <w:color w:val="000000"/>
                <w:lang w:val="en-US" w:eastAsia="zh-CN"/>
              </w:rPr>
            </w:pPr>
          </w:p>
          <w:p>
            <w:pPr>
              <w:widowControl w:val="0"/>
              <w:spacing w:line="280" w:lineRule="exact"/>
              <w:rPr>
                <w:rFonts w:ascii="宋体" w:hAnsi="宋体" w:hint="eastAsia"/>
                <w:bCs/>
                <w:color w:val="000000"/>
                <w:lang w:val="en-US" w:eastAsia="zh-CN"/>
              </w:rPr>
            </w:pPr>
          </w:p>
          <w:p>
            <w:pPr>
              <w:widowControl w:val="0"/>
              <w:spacing w:line="280" w:lineRule="exact"/>
              <w:rPr>
                <w:rFonts w:ascii="宋体" w:hAnsi="宋体" w:hint="eastAsia"/>
                <w:bCs/>
                <w:color w:val="000000"/>
                <w:lang w:val="en-US" w:eastAsia="zh-CN"/>
              </w:rPr>
            </w:pPr>
          </w:p>
          <w:p>
            <w:pPr>
              <w:widowControl w:val="0"/>
              <w:spacing w:line="280" w:lineRule="exact"/>
              <w:rPr>
                <w:rFonts w:ascii="宋体" w:hAnsi="宋体" w:hint="eastAsia"/>
                <w:bCs/>
                <w:color w:val="000000"/>
                <w:lang w:val="en-US" w:eastAsia="zh-CN"/>
              </w:rPr>
            </w:pPr>
          </w:p>
          <w:p>
            <w:pPr>
              <w:widowControl w:val="0"/>
              <w:spacing w:line="280" w:lineRule="exact"/>
              <w:rPr>
                <w:rFonts w:ascii="宋体" w:hAnsi="宋体" w:hint="eastAsia"/>
                <w:bCs/>
                <w:color w:val="000000"/>
                <w:lang w:val="en-US" w:eastAsia="zh-CN"/>
              </w:rPr>
            </w:pPr>
          </w:p>
          <w:p>
            <w:pPr>
              <w:widowControl w:val="0"/>
              <w:spacing w:line="280" w:lineRule="exact"/>
              <w:rPr>
                <w:rFonts w:ascii="宋体" w:hAnsi="宋体" w:hint="default"/>
                <w:bCs/>
                <w:color w:val="000000"/>
                <w:lang w:val="en-US" w:eastAsia="zh-CN"/>
              </w:rPr>
            </w:pPr>
          </w:p>
        </w:tc>
      </w:tr>
    </w:tbl>
    <w:p/>
    <w:sectPr>
      <w:headerReference w:type="default" r:id="rId4"/>
      <w:footerReference w:type="default" r:id="rId5"/>
      <w:pgSz w:w="16838" w:h="11906" w:orient="landscape"/>
      <w:pgMar w:top="1587" w:right="2098" w:bottom="1474" w:left="1984" w:header="851" w:footer="992" w:gutter="0"/>
      <w:cols w:num="1" w:space="0"/>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4A05EC-B389-4D96-8699-F504376C26D6}"/>
  </w:font>
  <w:font w:name="黑体">
    <w:panose1 w:val="02010609060101010101"/>
    <w:charset w:val="86"/>
    <w:family w:val="auto"/>
    <w:pitch w:val="default"/>
    <w:sig w:usb0="800002BF" w:usb1="38CF7CFA" w:usb2="00000016" w:usb3="00000000" w:csb0="00040001" w:csb1="00000000"/>
    <w:embedRegular r:id="rId2" w:fontKey="{A80C27B2-E326-4BB0-B8DF-3BA1DE5E6A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133C8F6-87A9-4DA1-9F53-51F517315E47}"/>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4" w:fontKey="{A9885C47-3397-4E1E-A8D3-850F8874D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outside" w:y="-14"/>
      <w:adjustRightInd w:val="0"/>
      <w:ind w:left="210" w:right="210" w:leftChars="100" w:rightChars="100"/>
      <w:rPr>
        <w:rStyle w:val="PageNumber"/>
        <w:rFonts w:ascii="宋体" w:hAnsi="宋体"/>
        <w:sz w:val="28"/>
        <w:szCs w:val="28"/>
      </w:rPr>
    </w:pPr>
    <w:r>
      <w:rPr>
        <w:rStyle w:val="PageNumber"/>
        <w:rFonts w:ascii="宋体" w:hAnsi="宋体" w:hint="eastAsia"/>
        <w:sz w:val="28"/>
        <w:szCs w:val="28"/>
      </w:rPr>
      <w:t>—</w:t>
    </w:r>
    <w:r>
      <w:rPr>
        <w:rStyle w:val="PageNumbe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sz w:val="28"/>
        <w:szCs w:val="28"/>
      </w:rPr>
      <w:t>3</w:t>
    </w:r>
    <w:r>
      <w:rPr>
        <w:rStyle w:val="PageNumber"/>
        <w:rFonts w:ascii="宋体" w:hAnsi="宋体"/>
        <w:sz w:val="28"/>
        <w:szCs w:val="28"/>
      </w:rPr>
      <w:fldChar w:fldCharType="end"/>
    </w:r>
    <w:r>
      <w:rPr>
        <w:rStyle w:val="PageNumber"/>
        <w:rFonts w:ascii="宋体" w:hAnsi="宋体"/>
        <w:sz w:val="28"/>
        <w:szCs w:val="28"/>
      </w:rPr>
      <w:t xml:space="preserve"> </w:t>
    </w:r>
    <w:r>
      <w:rPr>
        <w:rStyle w:val="PageNumber"/>
        <w:rFonts w:ascii="宋体" w:hAnsi="宋体" w:hint="eastAsia"/>
        <w:sz w:val="28"/>
        <w:szCs w:val="28"/>
      </w:rPr>
      <w:t>—</w:t>
    </w:r>
  </w:p>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height:0;margin-left:0;margin-top:0;mso-position-horizontal-relative:page;mso-position-vertical-relative:page;position:absolute;width:0;z-index:251658240" filled="f" stroked="f">
          <v:path strokeok="f" textboxrect="0,0,21600,21600"/>
          <v:textbox>
            <w:txbxContent>
              <w:p>
                <w:r>
                  <w:t>ImpTraceLabel=PD94bWwgdmVyc2lvbj0nMS4wJyBlbmNvZGluZz0nVVRGLTgnPz48dHJhY2U+PGNvbnRlbnQ+PC9jb250ZW50PjxhY2NvdW50Pm5ldGN4NnFsejZmZnMzem02ZWg3aHo8L2FjY291bnQ+PG1hY2hpbmVDb2RlPkszODkyODIxMTQyMTEKPC9tYWNoaW5lQ29kZT48dGltZT4yMDI1LTA4LTA1IDExOjM3OjI4PC90aW1lPjxzeXN0ZW0+TUI8c3lzdGVtPjwvdHJhY2U+</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83E46D9"/>
    <w:multiLevelType w:val="singleLevel"/>
    <w:tmpl w:val="F83E46D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HorizontalSpacing w:val="210"/>
  <w:drawingGridVerticalSpacing w:val="156"/>
  <w:noPunctuationKerning/>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hMDA4YTk2MjFiNDg4MTU2ODJkYzcxYjU4NzI3Yj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both"/>
      <w:textAlignment w:val="baseline"/>
    </w:pPr>
    <w:rPr>
      <w:rFonts w:ascii="Calibri" w:eastAsia="宋体" w:hAnsi="Calibri" w:cs="Times New Roman"/>
      <w:kern w:val="2"/>
      <w:sz w:val="21"/>
      <w:szCs w:val="21"/>
      <w:lang w:val="en-US" w:eastAsia="zh-CN" w:bidi="ar-SA"/>
      <w14:ligatures w14:val="standardContextua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style>
  <w:style w:type="paragraph" w:customStyle="1" w:styleId="1">
    <w:name w:val="列出段落1"/>
    <w:basedOn w:val="Normal"/>
    <w:qFormat/>
    <w:pPr>
      <w:ind w:firstLine="420" w:firstLineChars="200"/>
    </w:pPr>
  </w:style>
  <w:style w:type="character" w:customStyle="1" w:styleId="Char">
    <w:name w:val="页眉 Char"/>
    <w:basedOn w:val="DefaultParagraphFont"/>
    <w:link w:val="Header"/>
    <w:uiPriority w:val="99"/>
    <w:qFormat/>
    <w:rPr>
      <w:rFonts w:ascii="Calibri" w:eastAsia="宋体" w:hAnsi="Calibri" w:cs="Times New Roman"/>
      <w:kern w:val="2"/>
      <w:sz w:val="18"/>
      <w:szCs w:val="18"/>
      <w14:ligatures w14:val="standardContextual"/>
    </w:rPr>
  </w:style>
  <w:style w:type="character" w:customStyle="1" w:styleId="Char0">
    <w:name w:val="页脚 Char"/>
    <w:basedOn w:val="DefaultParagraphFont"/>
    <w:link w:val="Footer"/>
    <w:uiPriority w:val="99"/>
    <w:qFormat/>
    <w:rPr>
      <w:rFonts w:ascii="Calibri" w:eastAsia="宋体" w:hAnsi="Calibri" w:cs="Times New Roma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3</Pages>
  <Words>1072</Words>
  <Characters>1110</Characters>
  <Application>Microsoft Office Word</Application>
  <DocSecurity>0</DocSecurity>
  <Lines>7</Lines>
  <Paragraphs>2</Paragraphs>
  <ScaleCrop>false</ScaleCrop>
  <Company>DELL</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艳芳 黄</dc:creator>
  <cp:lastModifiedBy>candy</cp:lastModifiedBy>
  <cp:revision>2</cp:revision>
  <cp:lastPrinted>2024-09-13T19:30:00Z</cp:lastPrinted>
  <dcterms:created xsi:type="dcterms:W3CDTF">2025-06-30T04:19:00Z</dcterms:created>
  <dcterms:modified xsi:type="dcterms:W3CDTF">2025-07-20T03:02:57Z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213790B92E1E41AEA1CF4687E0CF3930_13</vt:lpwstr>
  </property>
  <property fmtid="{D5CDD505-2E9C-101B-9397-08002B2CF9AE}" pid="3" name="KSOProductBuildVer">
    <vt:lpwstr>2052-12.1.0.21915</vt:lpwstr>
  </property>
  <property fmtid="{D5CDD505-2E9C-101B-9397-08002B2CF9AE}" pid="4" name="KSOTemplateDocerSaveRecord">
    <vt:lpwstr>eyJoZGlkIjoiZWQwMTNkZDdiMmU3M2YzMWRhYzU3ZDVjM2FjNjljNTciLCJ1c2VySWQiOiI3ODU1MTkwNjUifQ==</vt:lpwstr>
  </property>
</Properties>
</file>