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E3254" w14:textId="77777777" w:rsidR="006B2D45" w:rsidRDefault="006B2D45" w:rsidP="006B2D45">
      <w:r w:rsidRPr="004730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45901" wp14:editId="68E75367">
                <wp:simplePos x="0" y="0"/>
                <wp:positionH relativeFrom="column">
                  <wp:posOffset>76200</wp:posOffset>
                </wp:positionH>
                <wp:positionV relativeFrom="paragraph">
                  <wp:posOffset>-266700</wp:posOffset>
                </wp:positionV>
                <wp:extent cx="5385435" cy="1619250"/>
                <wp:effectExtent l="8255" t="10795" r="6985" b="825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543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E078E" w14:textId="77777777" w:rsidR="006B2D45" w:rsidRPr="002A0E55" w:rsidRDefault="006B2D45" w:rsidP="006B2D45">
                            <w:pPr>
                              <w:spacing w:beforeLines="40" w:before="234" w:line="640" w:lineRule="exact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160"/>
                                <w:sz w:val="52"/>
                              </w:rPr>
                            </w:pPr>
                            <w:r w:rsidRPr="002A0E55">
                              <w:rPr>
                                <w:rFonts w:ascii="方正小标宋简体" w:eastAsia="方正小标宋简体" w:hint="eastAsia"/>
                                <w:color w:val="FF0000"/>
                                <w:spacing w:val="160"/>
                                <w:sz w:val="52"/>
                              </w:rPr>
                              <w:t>广西壮族自治区</w:t>
                            </w:r>
                          </w:p>
                          <w:p w14:paraId="6554A3F5" w14:textId="77777777" w:rsidR="006B2D45" w:rsidRPr="002A0E55" w:rsidRDefault="006B2D45" w:rsidP="006B2D45">
                            <w:pPr>
                              <w:spacing w:before="20" w:line="620" w:lineRule="exact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z w:val="52"/>
                              </w:rPr>
                            </w:pPr>
                          </w:p>
                          <w:p w14:paraId="7B22D1E1" w14:textId="77777777" w:rsidR="006B2D45" w:rsidRPr="002A0E55" w:rsidRDefault="006B2D45" w:rsidP="00473046">
                            <w:pPr>
                              <w:pStyle w:val="ad"/>
                              <w:spacing w:before="40" w:line="620" w:lineRule="exact"/>
                              <w:rPr>
                                <w:rFonts w:ascii="方正小标宋简体" w:eastAsia="方正小标宋简体"/>
                                <w:color w:val="FF0000"/>
                                <w:spacing w:val="0"/>
                                <w:position w:val="-16"/>
                              </w:rPr>
                            </w:pPr>
                            <w:r w:rsidRPr="002A0E55">
                              <w:rPr>
                                <w:rFonts w:ascii="方正小标宋简体" w:eastAsia="方正小标宋简体" w:hint="eastAsia"/>
                                <w:color w:val="FF0000"/>
                                <w:spacing w:val="0"/>
                                <w:position w:val="-16"/>
                                <w:sz w:val="84"/>
                              </w:rPr>
                              <w:t>教  育  厅  文  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4590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pt;margin-top:-21pt;width:424.0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" strokecolor="white">
                <v:textbox>
                  <w:txbxContent>
                    <w:p w14:paraId="4F5E078E" w14:textId="77777777" w:rsidR="006B2D45" w:rsidRPr="002A0E55" w:rsidRDefault="006B2D45" w:rsidP="006B2D45">
                      <w:pPr>
                        <w:spacing w:beforeLines="40" w:before="234" w:line="640" w:lineRule="exact"/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160"/>
                          <w:sz w:val="52"/>
                        </w:rPr>
                      </w:pPr>
                      <w:r w:rsidRPr="002A0E55">
                        <w:rPr>
                          <w:rFonts w:ascii="方正小标宋简体" w:eastAsia="方正小标宋简体" w:hint="eastAsia"/>
                          <w:color w:val="FF0000"/>
                          <w:spacing w:val="160"/>
                          <w:sz w:val="52"/>
                        </w:rPr>
                        <w:t>广西壮族自治区</w:t>
                      </w:r>
                    </w:p>
                    <w:p w14:paraId="6554A3F5" w14:textId="77777777" w:rsidR="006B2D45" w:rsidRPr="002A0E55" w:rsidRDefault="006B2D45" w:rsidP="006B2D45">
                      <w:pPr>
                        <w:spacing w:before="20" w:line="620" w:lineRule="exact"/>
                        <w:jc w:val="center"/>
                        <w:rPr>
                          <w:rFonts w:ascii="方正小标宋简体" w:eastAsia="方正小标宋简体"/>
                          <w:color w:val="FF0000"/>
                          <w:sz w:val="52"/>
                        </w:rPr>
                      </w:pPr>
                    </w:p>
                    <w:p w14:paraId="7B22D1E1" w14:textId="77777777" w:rsidR="006B2D45" w:rsidRPr="002A0E55" w:rsidRDefault="006B2D45" w:rsidP="00473046">
                      <w:pPr>
                        <w:pStyle w:val="ad"/>
                        <w:spacing w:before="40" w:line="620" w:lineRule="exact"/>
                        <w:rPr>
                          <w:rFonts w:ascii="方正小标宋简体" w:eastAsia="方正小标宋简体"/>
                          <w:color w:val="FF0000"/>
                          <w:spacing w:val="0"/>
                          <w:position w:val="-16"/>
                        </w:rPr>
                      </w:pPr>
                      <w:r w:rsidRPr="002A0E55">
                        <w:rPr>
                          <w:rFonts w:ascii="方正小标宋简体" w:eastAsia="方正小标宋简体" w:hint="eastAsia"/>
                          <w:color w:val="FF0000"/>
                          <w:spacing w:val="0"/>
                          <w:position w:val="-16"/>
                          <w:sz w:val="84"/>
                        </w:rPr>
                        <w:t>教  育  厅  文  件</w:t>
                      </w:r>
                    </w:p>
                  </w:txbxContent>
                </v:textbox>
              </v:shape>
            </w:pict>
          </mc:Fallback>
        </mc:AlternateContent>
      </w:r>
    </w:p>
    <w:p w14:paraId="1ADD85FA" w14:textId="77777777" w:rsidR="006B2D45" w:rsidRDefault="006B2D45" w:rsidP="006B2D45">
      <w:pPr>
        <w:spacing w:afterLines="30" w:after="175"/>
      </w:pPr>
    </w:p>
    <w:p w14:paraId="3F6989E8" w14:textId="77777777" w:rsidR="006B2D45" w:rsidRDefault="006B2D45" w:rsidP="006B2D45"/>
    <w:p w14:paraId="4EDC6B10" w14:textId="77777777" w:rsidR="006B2D45" w:rsidRDefault="006B2D45" w:rsidP="006B2D45">
      <w:pPr>
        <w:spacing w:line="540" w:lineRule="exact"/>
      </w:pPr>
    </w:p>
    <w:p w14:paraId="79042039" w14:textId="77777777" w:rsidR="006B2D45" w:rsidRDefault="006B2D45" w:rsidP="006B2D45">
      <w:pPr>
        <w:spacing w:line="540" w:lineRule="exact"/>
      </w:pPr>
    </w:p>
    <w:p w14:paraId="2E551BA0" w14:textId="77777777" w:rsidR="006B2D45" w:rsidRPr="00473046" w:rsidRDefault="006B2D45" w:rsidP="00473046">
      <w:pPr>
        <w:spacing w:afterLines="30" w:after="175" w:line="540" w:lineRule="exact"/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473046">
        <w:rPr>
          <w:rFonts w:ascii="仿宋" w:eastAsia="仿宋" w:hAnsi="仿宋" w:hint="eastAsia"/>
          <w:sz w:val="32"/>
          <w:szCs w:val="32"/>
        </w:rPr>
        <w:t>桂</w:t>
      </w:r>
      <w:r w:rsidRPr="00473046">
        <w:rPr>
          <w:rFonts w:ascii="仿宋" w:eastAsia="仿宋" w:hAnsi="仿宋"/>
          <w:sz w:val="32"/>
          <w:szCs w:val="32"/>
        </w:rPr>
        <w:t>教</w:t>
      </w:r>
      <w:r w:rsidR="005B6D16">
        <w:rPr>
          <w:rFonts w:ascii="仿宋" w:eastAsia="仿宋" w:hAnsi="仿宋" w:hint="eastAsia"/>
          <w:sz w:val="32"/>
          <w:szCs w:val="32"/>
        </w:rPr>
        <w:t>规范</w:t>
      </w:r>
      <w:proofErr w:type="gramEnd"/>
      <w:r w:rsidRPr="00473046">
        <w:rPr>
          <w:rFonts w:ascii="仿宋" w:eastAsia="仿宋" w:hAnsi="仿宋"/>
          <w:sz w:val="32"/>
          <w:szCs w:val="32"/>
        </w:rPr>
        <w:t>〔2020〕5号</w:t>
      </w:r>
    </w:p>
    <w:tbl>
      <w:tblPr>
        <w:tblW w:w="8730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8730"/>
      </w:tblGrid>
      <w:tr w:rsidR="006B2D45" w14:paraId="481EC0FE" w14:textId="77777777" w:rsidTr="00D77D99">
        <w:trPr>
          <w:trHeight w:val="360"/>
        </w:trPr>
        <w:tc>
          <w:tcPr>
            <w:tcW w:w="8730" w:type="dxa"/>
            <w:tcBorders>
              <w:top w:val="single" w:sz="24" w:space="0" w:color="FF0000"/>
              <w:left w:val="nil"/>
              <w:bottom w:val="nil"/>
              <w:right w:val="nil"/>
            </w:tcBorders>
          </w:tcPr>
          <w:p w14:paraId="121198C7" w14:textId="77777777" w:rsidR="006B2D45" w:rsidRDefault="006B2D45" w:rsidP="00D77D99"/>
        </w:tc>
      </w:tr>
    </w:tbl>
    <w:p w14:paraId="7639512A" w14:textId="1F5563A9" w:rsidR="006B2D45" w:rsidRPr="00B10C57" w:rsidRDefault="006B2D45" w:rsidP="006B2D45">
      <w:pPr>
        <w:adjustRightInd w:val="0"/>
        <w:snapToGrid w:val="0"/>
        <w:spacing w:line="68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DB44EB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自治区教育厅</w:t>
      </w: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印发</w:t>
      </w:r>
      <w:r w:rsidRPr="00B10C57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《关于全面推进学前教育集团化办园改革的实施意见》的通知</w:t>
      </w:r>
    </w:p>
    <w:p w14:paraId="5F418D82" w14:textId="77777777" w:rsidR="006B2D45" w:rsidRPr="00B10C57" w:rsidRDefault="006B2D45" w:rsidP="006B2D45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70DEA6DD" w14:textId="77777777" w:rsidR="006B2D45" w:rsidRDefault="006B2D45" w:rsidP="006B2D45">
      <w:pPr>
        <w:spacing w:line="560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B10C5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市、县（市、区）教育局，各有关高等学校：</w:t>
      </w:r>
    </w:p>
    <w:p w14:paraId="28B4690B" w14:textId="77777777" w:rsidR="006B2D45" w:rsidRDefault="006B2D45" w:rsidP="006B2D45">
      <w:pPr>
        <w:spacing w:line="560" w:lineRule="exact"/>
        <w:ind w:firstLine="672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现将《</w:t>
      </w:r>
      <w:r w:rsidRPr="00A061D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关于全面推进学前教育集团化办园改革的实施意见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》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印发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你们，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请遵照执行。</w:t>
      </w:r>
    </w:p>
    <w:p w14:paraId="1134DCEC" w14:textId="7FB52070" w:rsidR="006B2D45" w:rsidRDefault="006B2D45" w:rsidP="00473046">
      <w:pPr>
        <w:spacing w:line="560" w:lineRule="exact"/>
        <w:ind w:firstLineChars="200" w:firstLine="624"/>
        <w:rPr>
          <w:rFonts w:ascii="仿宋" w:eastAsia="仿宋" w:hAnsi="仿宋" w:cs="仿宋_GB2312"/>
          <w:szCs w:val="32"/>
        </w:rPr>
        <w:sectPr w:rsidR="006B2D45" w:rsidSect="004A7D98">
          <w:footerReference w:type="default" r:id="rId7"/>
          <w:pgSz w:w="11907" w:h="16840" w:code="9"/>
          <w:pgMar w:top="4082" w:right="1474" w:bottom="1985" w:left="1588" w:header="851" w:footer="1985" w:gutter="0"/>
          <w:cols w:space="425"/>
          <w:docGrid w:type="linesAndChars" w:linePitch="585" w:charSpace="-1675"/>
        </w:sectPr>
      </w:pPr>
      <w:r w:rsidRPr="00207E61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请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各设区市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教育局于2020年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9</w:t>
      </w:r>
      <w:r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月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底前将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所辖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县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（市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、区）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教育局学前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教育集团化办园实施方案报送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至我厅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基础教育处。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每年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定期报送集团化办园实施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进展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情况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，各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县（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市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、区）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教育局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于每年</w:t>
      </w:r>
    </w:p>
    <w:p w14:paraId="0F69706E" w14:textId="68D79CA5" w:rsidR="00A061DC" w:rsidRPr="00207E61" w:rsidRDefault="006B2D45" w:rsidP="00473046">
      <w:pPr>
        <w:adjustRightInd w:val="0"/>
        <w:snapToGrid w:val="0"/>
        <w:spacing w:line="680" w:lineRule="exact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10月15日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前报送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组建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的学前教育集团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数量及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名单，每年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12月20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日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前</w:t>
      </w:r>
      <w:r w:rsidR="00326810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报送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学前教育集团化办园总结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材料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（包括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集团化办园的做法及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成效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、</w:t>
      </w:r>
      <w:r w:rsidR="00326810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存在</w:t>
      </w:r>
      <w:r w:rsidR="00326810">
        <w:rPr>
          <w:rFonts w:ascii="仿宋" w:eastAsia="仿宋" w:hAnsi="仿宋" w:cs="仿宋_GB2312"/>
          <w:color w:val="000000" w:themeColor="text1"/>
          <w:sz w:val="32"/>
          <w:szCs w:val="32"/>
        </w:rPr>
        <w:t>问题</w:t>
      </w:r>
      <w:r w:rsidR="00326810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下一年度工作计划等）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报设区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市教育局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；各设区市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教育局</w:t>
      </w:r>
      <w:r w:rsidR="00326810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分别</w:t>
      </w:r>
      <w:r w:rsidR="00326810">
        <w:rPr>
          <w:rFonts w:ascii="仿宋" w:eastAsia="仿宋" w:hAnsi="仿宋" w:cs="仿宋_GB2312"/>
          <w:color w:val="000000" w:themeColor="text1"/>
          <w:sz w:val="32"/>
          <w:szCs w:val="32"/>
        </w:rPr>
        <w:t>于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每年</w:t>
      </w:r>
      <w:r w:rsidR="00326810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10月20日</w:t>
      </w:r>
      <w:r w:rsidR="00326810">
        <w:rPr>
          <w:rFonts w:ascii="仿宋" w:eastAsia="仿宋" w:hAnsi="仿宋" w:cs="仿宋_GB2312"/>
          <w:color w:val="000000" w:themeColor="text1"/>
          <w:sz w:val="32"/>
          <w:szCs w:val="32"/>
        </w:rPr>
        <w:t>、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12月30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日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前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将本市学前教育集团化办</w:t>
      </w:r>
      <w:proofErr w:type="gramStart"/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材</w:t>
      </w:r>
      <w:proofErr w:type="gramEnd"/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料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报送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我厅基础教育处。</w:t>
      </w:r>
    </w:p>
    <w:p w14:paraId="5B0AECFF" w14:textId="77777777" w:rsidR="006B2D45" w:rsidRDefault="006B2D45" w:rsidP="00A061DC">
      <w:pPr>
        <w:spacing w:line="560" w:lineRule="exact"/>
        <w:ind w:leftChars="300" w:left="1430" w:right="640" w:hangingChars="250" w:hanging="800"/>
        <w:jc w:val="right"/>
        <w:rPr>
          <w:rFonts w:ascii="仿宋" w:eastAsia="仿宋" w:hAnsi="仿宋"/>
          <w:color w:val="000000" w:themeColor="text1"/>
          <w:sz w:val="32"/>
        </w:rPr>
      </w:pPr>
    </w:p>
    <w:p w14:paraId="4D32E5F3" w14:textId="77777777" w:rsidR="00522A06" w:rsidRDefault="00A061DC" w:rsidP="00A061DC">
      <w:pPr>
        <w:spacing w:line="560" w:lineRule="exact"/>
        <w:ind w:leftChars="300" w:left="1430" w:right="640" w:hangingChars="250" w:hanging="800"/>
        <w:jc w:val="right"/>
        <w:rPr>
          <w:rFonts w:ascii="仿宋" w:eastAsia="仿宋" w:hAnsi="仿宋"/>
          <w:color w:val="000000" w:themeColor="text1"/>
          <w:sz w:val="32"/>
        </w:rPr>
      </w:pPr>
      <w:r w:rsidRPr="00457792">
        <w:rPr>
          <w:rFonts w:ascii="仿宋" w:eastAsia="仿宋" w:hAnsi="仿宋"/>
          <w:color w:val="000000" w:themeColor="text1"/>
          <w:sz w:val="32"/>
        </w:rPr>
        <w:t xml:space="preserve">  </w:t>
      </w:r>
    </w:p>
    <w:p w14:paraId="34AC8A06" w14:textId="77777777" w:rsidR="00A061DC" w:rsidRPr="00457792" w:rsidRDefault="006B2D45" w:rsidP="00473046">
      <w:pPr>
        <w:spacing w:line="560" w:lineRule="exact"/>
        <w:ind w:leftChars="300" w:left="1430" w:right="640" w:hangingChars="250" w:hanging="800"/>
        <w:jc w:val="center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 xml:space="preserve">                       </w:t>
      </w:r>
      <w:r w:rsidR="00A061DC" w:rsidRPr="00457792">
        <w:rPr>
          <w:rFonts w:ascii="仿宋" w:eastAsia="仿宋" w:hAnsi="仿宋"/>
          <w:color w:val="000000" w:themeColor="text1"/>
          <w:sz w:val="32"/>
        </w:rPr>
        <w:t>广西壮族自治区教育厅</w:t>
      </w:r>
    </w:p>
    <w:p w14:paraId="5A37CD7D" w14:textId="32A14B65" w:rsidR="007D3B99" w:rsidRPr="0041765A" w:rsidRDefault="006B2D45" w:rsidP="00473046">
      <w:pPr>
        <w:wordWrap w:val="0"/>
        <w:spacing w:line="560" w:lineRule="exact"/>
        <w:ind w:right="960" w:firstLine="640"/>
        <w:jc w:val="center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</w:rPr>
        <w:t xml:space="preserve">                          </w:t>
      </w:r>
      <w:r w:rsidR="00A061D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2020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年</w:t>
      </w:r>
      <w:r w:rsidR="00A061DC">
        <w:rPr>
          <w:rFonts w:ascii="仿宋" w:eastAsia="仿宋" w:hAnsi="仿宋" w:cs="仿宋_GB2312"/>
          <w:color w:val="000000" w:themeColor="text1"/>
          <w:sz w:val="32"/>
          <w:szCs w:val="32"/>
        </w:rPr>
        <w:t>5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26</w:t>
      </w:r>
      <w:r w:rsidR="00A061D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日</w:t>
      </w:r>
    </w:p>
    <w:p w14:paraId="29D30EED" w14:textId="77777777" w:rsidR="006B2D45" w:rsidRDefault="006B2D45">
      <w:pPr>
        <w:widowControl/>
        <w:jc w:val="left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br w:type="page"/>
      </w:r>
    </w:p>
    <w:p w14:paraId="20F05DC3" w14:textId="77777777" w:rsidR="007D3B99" w:rsidRDefault="007D3B99" w:rsidP="007D3B99">
      <w:pPr>
        <w:adjustRightInd w:val="0"/>
        <w:snapToGrid w:val="0"/>
        <w:spacing w:line="68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B10C57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lastRenderedPageBreak/>
        <w:t>关于全面推进学前教育集团化办园改革</w:t>
      </w:r>
    </w:p>
    <w:p w14:paraId="4049B624" w14:textId="77777777" w:rsidR="007D3B99" w:rsidRPr="007D3B99" w:rsidRDefault="007D3B99" w:rsidP="007D3B99">
      <w:pPr>
        <w:adjustRightInd w:val="0"/>
        <w:snapToGrid w:val="0"/>
        <w:spacing w:line="68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B10C57"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的实施意见</w:t>
      </w:r>
    </w:p>
    <w:p w14:paraId="66DD54AC" w14:textId="77777777" w:rsidR="00A061DC" w:rsidRPr="00A061DC" w:rsidRDefault="00A061DC" w:rsidP="00522A06">
      <w:pPr>
        <w:spacing w:line="560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14:paraId="54064345" w14:textId="77777777" w:rsidR="00BE66A1" w:rsidRPr="00FE4028" w:rsidRDefault="00BE66A1">
      <w:pPr>
        <w:spacing w:line="560" w:lineRule="exact"/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实施集团化办园，是全面贯彻落实党的十九大精神，深化教育领域综合改革的重要举措</w:t>
      </w:r>
      <w:r w:rsidR="006A1932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。根据《</w:t>
      </w:r>
      <w:r w:rsidR="006A1932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中共中央 国务院关于学前教育深化改革规范发展的若干意见</w:t>
      </w:r>
      <w:r w:rsidR="006A1932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》（中发〔</w:t>
      </w:r>
      <w:r w:rsidR="006A1932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2018〕39号）、</w:t>
      </w:r>
      <w:r w:rsidR="00D274F5" w:rsidRPr="00457792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《自治区党委</w:t>
      </w:r>
      <w:r w:rsidR="00DB44EB" w:rsidRPr="00457792">
        <w:rPr>
          <w:rFonts w:ascii="仿宋" w:eastAsia="仿宋" w:hAnsi="仿宋"/>
          <w:snapToGrid w:val="0"/>
          <w:color w:val="000000" w:themeColor="text1"/>
          <w:sz w:val="32"/>
          <w:szCs w:val="32"/>
        </w:rPr>
        <w:t xml:space="preserve"> </w:t>
      </w:r>
      <w:r w:rsidR="00D274F5" w:rsidRPr="00457792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自治区人民政府关于学前教育深化改革规范发展的实施意见》（</w:t>
      </w:r>
      <w:r w:rsidR="00D274F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桂发〔</w:t>
      </w:r>
      <w:r w:rsidR="00D274F5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2019〕10号</w:t>
      </w:r>
      <w:r w:rsidR="00D274F5" w:rsidRPr="00457792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和《</w:t>
      </w:r>
      <w:r w:rsidR="00EA0D1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广西</w:t>
      </w:r>
      <w:r w:rsidR="00EA0D1C">
        <w:rPr>
          <w:rFonts w:ascii="仿宋" w:eastAsia="仿宋" w:hAnsi="仿宋" w:cs="仿宋_GB2312"/>
          <w:color w:val="000000" w:themeColor="text1"/>
          <w:sz w:val="32"/>
          <w:szCs w:val="32"/>
        </w:rPr>
        <w:t>加快推进教育现代化实施方案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2018</w:t>
      </w:r>
      <w:r w:rsidR="00457792" w:rsidRPr="0045779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—</w:t>
      </w:r>
      <w:r w:rsidR="00EA0D1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202</w:t>
      </w:r>
      <w:r w:rsidR="00EA0D1C">
        <w:rPr>
          <w:rFonts w:ascii="仿宋" w:eastAsia="仿宋" w:hAnsi="仿宋" w:cs="仿宋_GB2312"/>
          <w:color w:val="000000" w:themeColor="text1"/>
          <w:sz w:val="32"/>
          <w:szCs w:val="32"/>
        </w:rPr>
        <w:t>2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年）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》（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桂</w:t>
      </w:r>
      <w:r w:rsidR="00EA0D1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办发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〔</w:t>
      </w:r>
      <w:r w:rsidR="00EA0D1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201</w:t>
      </w:r>
      <w:r w:rsidR="00EA0D1C">
        <w:rPr>
          <w:rFonts w:ascii="仿宋" w:eastAsia="仿宋" w:hAnsi="仿宋" w:cs="仿宋_GB2312"/>
          <w:color w:val="000000" w:themeColor="text1"/>
          <w:sz w:val="32"/>
          <w:szCs w:val="32"/>
        </w:rPr>
        <w:t>9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〕</w:t>
      </w:r>
      <w:r w:rsidR="00EA0D1C">
        <w:rPr>
          <w:rFonts w:ascii="仿宋" w:eastAsia="仿宋" w:hAnsi="仿宋" w:cs="仿宋_GB2312"/>
          <w:color w:val="000000" w:themeColor="text1"/>
          <w:sz w:val="32"/>
          <w:szCs w:val="32"/>
        </w:rPr>
        <w:t>3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号）精神，为加快实现全区学前教育</w:t>
      </w:r>
      <w:proofErr w:type="gramStart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普及普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惠</w:t>
      </w:r>
      <w:r w:rsidR="005A0A73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安全优质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发展目标，促进各级各类幼儿园健康发展，办好人民满意的教育，特制定本实施意见。</w:t>
      </w:r>
    </w:p>
    <w:p w14:paraId="0F4F806A" w14:textId="77777777" w:rsidR="00BE66A1" w:rsidRPr="00457792" w:rsidRDefault="00BE66A1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 w:rsidRPr="00457792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一、指导思想</w:t>
      </w:r>
    </w:p>
    <w:p w14:paraId="77FE2DE2" w14:textId="77777777" w:rsidR="00BE66A1" w:rsidRPr="00FE4028" w:rsidRDefault="00BE66A1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Adobe 仿宋 Std R" w:hint="eastAsia"/>
          <w:color w:val="000000" w:themeColor="text1"/>
          <w:sz w:val="32"/>
          <w:szCs w:val="32"/>
        </w:rPr>
        <w:t>以习近平新时代中国特色社会主义</w:t>
      </w:r>
      <w:r w:rsidR="00371CAB" w:rsidRPr="00FE4028">
        <w:rPr>
          <w:rFonts w:ascii="仿宋" w:eastAsia="仿宋" w:hAnsi="仿宋" w:cs="Adobe 仿宋 Std R" w:hint="eastAsia"/>
          <w:color w:val="000000" w:themeColor="text1"/>
          <w:sz w:val="32"/>
          <w:szCs w:val="32"/>
        </w:rPr>
        <w:t>思想</w:t>
      </w:r>
      <w:r w:rsidRPr="00FE4028">
        <w:rPr>
          <w:rFonts w:ascii="仿宋" w:eastAsia="仿宋" w:hAnsi="仿宋" w:cs="Adobe 仿宋 Std R" w:hint="eastAsia"/>
          <w:color w:val="000000" w:themeColor="text1"/>
          <w:sz w:val="32"/>
          <w:szCs w:val="32"/>
        </w:rPr>
        <w:t>为指导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，全面落实《幼儿园工作规程》、《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3</w:t>
      </w:r>
      <w:r w:rsidR="00457792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—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6岁儿童学习与发展指南》，</w:t>
      </w:r>
      <w:r w:rsidR="00D274F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坚持</w:t>
      </w:r>
      <w:r w:rsidR="002632C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公益</w:t>
      </w:r>
      <w:r w:rsidR="00D274F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普惠的办园方向，以政府为主导，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以推进集团化办园改革为动力，以优质幼儿园带动薄弱幼儿园发展为抓手，以提高幼儿园管理水平和保教质量为目标，全面促进我区学前教育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普及普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惠安全优质发展。</w:t>
      </w:r>
    </w:p>
    <w:p w14:paraId="6D332CF6" w14:textId="77777777" w:rsidR="00350F6E" w:rsidRPr="00457792" w:rsidRDefault="00350F6E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457792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二、基本原则</w:t>
      </w:r>
    </w:p>
    <w:p w14:paraId="5F50CEEE" w14:textId="77777777" w:rsidR="003872A5" w:rsidRPr="00FE4028" w:rsidRDefault="003872A5" w:rsidP="00FE4028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一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区域推进。各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市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、县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（市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、区）教育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局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统筹规划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加强集团化办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的顶层设计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，优化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设点布局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以县(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市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、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区)为单位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探索组建教育集团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5C525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发挥优质教育资源的辐射作用，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带动</w:t>
      </w:r>
      <w:r w:rsidR="005C525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薄弱</w:t>
      </w:r>
      <w:proofErr w:type="gramStart"/>
      <w:r w:rsidR="005C5251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实现</w:t>
      </w:r>
      <w:proofErr w:type="gramEnd"/>
      <w:r w:rsidR="00DB44EB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同步协调发展，实现区域内幼儿园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优势互补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和谐共生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促进城乡教育一体化发展。</w:t>
      </w:r>
    </w:p>
    <w:p w14:paraId="3A1F5A27" w14:textId="77777777" w:rsidR="0033400C" w:rsidRPr="00FE4028" w:rsidRDefault="003872A5" w:rsidP="00FE4028">
      <w:pPr>
        <w:widowControl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二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机制创新。各教育集团结合自身特色创造性地制定办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章程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优化管理结构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明晰发展规划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注重决策、执行、监督、保障等各环节衔接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建立以</w:t>
      </w:r>
      <w:proofErr w:type="gramStart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共同愿景为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目标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、以制度体系为框架、以规则程序为纽带的集团运行机制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实现管理互通、师资共享、</w:t>
      </w:r>
      <w:proofErr w:type="gramStart"/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研</w:t>
      </w:r>
      <w:proofErr w:type="gramEnd"/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训联动、文化共建和质量同进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proofErr w:type="gramStart"/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缩小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际差距</w:t>
      </w:r>
      <w:proofErr w:type="gramEnd"/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形成稳定的合作</w:t>
      </w:r>
      <w:r w:rsidR="00F11C4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共赢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机制。</w:t>
      </w:r>
    </w:p>
    <w:p w14:paraId="5FD24DE7" w14:textId="77777777" w:rsidR="0033400C" w:rsidRPr="00FE4028" w:rsidRDefault="003872A5" w:rsidP="00FE4028">
      <w:pPr>
        <w:widowControl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共享共生。通过先进办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理念辐射、科学管理制度共建、骨干教师流动、教育资源共享、办学文化共生等策略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增强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园“复制”、“改进”与“重建”的能力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逐步形成各自的办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优势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创建办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特色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提升教育品质。</w:t>
      </w:r>
    </w:p>
    <w:p w14:paraId="2203788D" w14:textId="77777777" w:rsidR="0033400C" w:rsidRPr="00FE4028" w:rsidRDefault="003872A5" w:rsidP="00FE4028">
      <w:pPr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四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量质并举。把关注质的提升与量的扩张紧密结合起来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优质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="006C42D7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在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输出品牌、师资、管理上下功夫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大力推进优质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儿园的标准化建设和规范化、科学化管理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增强“输血”、“造血”功能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不断提升整体办</w:t>
      </w:r>
      <w:r w:rsidR="0033400C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水平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促进</w:t>
      </w:r>
      <w:r w:rsidR="0033400C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优质资源的可持续增长。</w:t>
      </w:r>
    </w:p>
    <w:p w14:paraId="7A3486B2" w14:textId="77777777" w:rsidR="00BE66A1" w:rsidRPr="00671D83" w:rsidRDefault="00350F6E" w:rsidP="00671D83">
      <w:pPr>
        <w:spacing w:line="54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 w:rsidRPr="00457792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三</w:t>
      </w:r>
      <w:r w:rsidR="00BE66A1" w:rsidRPr="00457792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、</w:t>
      </w:r>
      <w:r w:rsidR="00671D83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总体</w:t>
      </w:r>
      <w:r w:rsidR="00833977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目标</w:t>
      </w:r>
    </w:p>
    <w:p w14:paraId="4C2053D3" w14:textId="77777777" w:rsidR="00BE66A1" w:rsidRDefault="00350F6E" w:rsidP="00FE4028">
      <w:pPr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深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入推进教育体制机制改革，</w:t>
      </w:r>
      <w:r w:rsidR="00D274F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全面实行学前教育集团化</w:t>
      </w:r>
      <w:r w:rsidR="00EA0D1C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办</w:t>
      </w:r>
      <w:r w:rsidR="00EA0D1C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r w:rsidR="00D274F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模式改革，充分依托有关高等院校、优质幼儿园优势，通过集团化</w:t>
      </w:r>
      <w:r w:rsidR="00EA0D1C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办</w:t>
      </w:r>
      <w:r w:rsidR="00EA0D1C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r w:rsidR="00D274F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模式，</w:t>
      </w:r>
      <w:r w:rsidR="00CA34C6" w:rsidRPr="00DF7E5B">
        <w:rPr>
          <w:rFonts w:ascii="仿宋" w:eastAsia="仿宋" w:hAnsi="仿宋" w:hint="eastAsia"/>
          <w:color w:val="000000" w:themeColor="text1"/>
          <w:sz w:val="32"/>
          <w:szCs w:val="32"/>
        </w:rPr>
        <w:t>逐步</w:t>
      </w:r>
      <w:r w:rsidR="00D274F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将城乡幼儿</w:t>
      </w:r>
      <w:proofErr w:type="gramStart"/>
      <w:r w:rsidR="00D274F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园全</w:t>
      </w:r>
      <w:proofErr w:type="gramEnd"/>
      <w:r w:rsidR="00D274F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部纳入学前教育集团化管理，扩大优质资源覆盖面。</w:t>
      </w:r>
      <w:r w:rsidR="00D274F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通过</w:t>
      </w:r>
      <w:r w:rsidR="00BE66A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各级各类幼儿园之间相互交流、规范管理，逐步实现集团内“办园条件同改善、规章制度同完善、园</w:t>
      </w:r>
      <w:proofErr w:type="gramStart"/>
      <w:r w:rsidR="00BE66A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务</w:t>
      </w:r>
      <w:proofErr w:type="gramEnd"/>
      <w:r w:rsidR="00BE66A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管理同规范、保教质量同提升”四协同；不断满足人民群众日</w:t>
      </w:r>
      <w:r w:rsidR="00BE66A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益增长的优质化、多样化的学前教育需求，坚决纠正学前教育“小学化”倾向</w:t>
      </w:r>
      <w:r w:rsidR="00DB44EB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015A0F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加快实现学前教育集团“县县全覆盖”的目标</w:t>
      </w:r>
      <w:r w:rsidR="00BE66A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0F3C948E" w14:textId="77777777" w:rsidR="00BE66A1" w:rsidRPr="00457792" w:rsidRDefault="00192084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457792">
        <w:rPr>
          <w:rFonts w:ascii="黑体" w:eastAsia="黑体" w:hAnsi="黑体" w:cs="黑体" w:hint="eastAsia"/>
          <w:color w:val="000000" w:themeColor="text1"/>
          <w:sz w:val="32"/>
          <w:szCs w:val="32"/>
        </w:rPr>
        <w:t>四</w:t>
      </w:r>
      <w:r w:rsidRPr="00457792">
        <w:rPr>
          <w:rFonts w:ascii="黑体" w:eastAsia="黑体" w:hAnsi="黑体" w:cs="黑体"/>
          <w:color w:val="000000" w:themeColor="text1"/>
          <w:sz w:val="32"/>
          <w:szCs w:val="32"/>
        </w:rPr>
        <w:t>、</w:t>
      </w:r>
      <w:r w:rsidR="00BE66A1" w:rsidRPr="00457792">
        <w:rPr>
          <w:rFonts w:ascii="黑体" w:eastAsia="黑体" w:hAnsi="黑体" w:cs="黑体" w:hint="eastAsia"/>
          <w:color w:val="000000" w:themeColor="text1"/>
          <w:sz w:val="32"/>
          <w:szCs w:val="32"/>
        </w:rPr>
        <w:t>重点任务</w:t>
      </w:r>
    </w:p>
    <w:p w14:paraId="221BC954" w14:textId="77777777" w:rsidR="00192084" w:rsidRPr="00FE4028" w:rsidRDefault="003872A5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192084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一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</w:t>
      </w:r>
      <w:r w:rsidR="00192084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加强统筹，优化集团办学布局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1F0768C5" w14:textId="77777777" w:rsidR="00192084" w:rsidRPr="00FE4028" w:rsidRDefault="00192084" w:rsidP="00FE4028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1.统筹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域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集团办学，促进区域优质均衡发展。支持各县（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市、区）通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过集团化办学方式带动相对薄弱幼儿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发展，不断扩增优质教育资源，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缩小园际差距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7A4B0B74" w14:textId="77777777" w:rsidR="00192084" w:rsidRPr="00FE4028" w:rsidRDefault="00192084" w:rsidP="00FE4028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2.鼓励跨区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域集团办学，推进城乡教育一体化发展。积极支持县城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（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城区）通过集团化办学，向农村地区扩充优质教育资源，带动农村幼儿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发展。跨区集团办学坚持属地管理原则，幼儿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所在县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（市、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区）要加强管理，加大保障，促进集团化办学质量提升。</w:t>
      </w:r>
    </w:p>
    <w:p w14:paraId="2C0362B1" w14:textId="77777777" w:rsidR="00192084" w:rsidRPr="00FE4028" w:rsidRDefault="00192084" w:rsidP="00FE4028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3.规范异地集团办学。由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自治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区教育厅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统筹跨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市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发展集团化办学规划，积极有序支持</w:t>
      </w:r>
      <w:r w:rsidR="00EF5B12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我区开设学前教育专业的高校、</w:t>
      </w:r>
      <w:r w:rsidR="00EF5B12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区直自治区示范幼儿园等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优质教育资源到</w:t>
      </w:r>
      <w:r w:rsidR="00EF5B12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各市</w:t>
      </w:r>
      <w:r w:rsidR="00EF5B12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、县（市、区）</w:t>
      </w:r>
      <w:r w:rsidR="00C97962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指导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集团化办学。</w:t>
      </w:r>
    </w:p>
    <w:p w14:paraId="18EDFC64" w14:textId="77777777" w:rsidR="004D1F8F" w:rsidRPr="00FE4028" w:rsidRDefault="004D1F8F" w:rsidP="00FE4028">
      <w:pPr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（二）</w:t>
      </w:r>
      <w:r w:rsidR="00EF5B12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规范发展，完善集团治理结构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7CF844DE" w14:textId="77777777" w:rsidR="004D1F8F" w:rsidRPr="00FE4028" w:rsidRDefault="00EF5B12" w:rsidP="00FE4028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1.合理确定集团规模。结合实际成立教育集团</w:t>
      </w:r>
      <w:r w:rsidR="0033451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科学规划教育集团发展，综合考虑发展需求、资源条件、辐射幅度、保障措施和实际效果等因素，有序推进集团化办学，合理控制集团办学规模。组建教育集团须经所在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县（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市、区）级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含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级）以上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教育行政部门同意，应积极探索集团幼儿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进有</w:t>
      </w:r>
      <w:r w:rsidR="004D1F8F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所需、退有所据的</w:t>
      </w:r>
      <w:r w:rsidR="004D1F8F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动态管理机制，促进集团化办学持续、健康发展。</w:t>
      </w:r>
    </w:p>
    <w:p w14:paraId="5B76EFDC" w14:textId="77777777" w:rsidR="001C743E" w:rsidRPr="00FE4028" w:rsidRDefault="00EF5B12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2.完善内部组织机构。探索建构</w:t>
      </w:r>
      <w:r w:rsidRPr="00FE4028">
        <w:rPr>
          <w:rFonts w:ascii="仿宋" w:eastAsia="仿宋" w:hAnsi="仿宋" w:cs="仿宋_GB2312"/>
          <w:sz w:val="32"/>
          <w:szCs w:val="32"/>
        </w:rPr>
        <w:t>一个法人一体化、多个法人联合体等集团治理结构。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规范教育集团组织管理，设立由教育集团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和成员园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以及相关人员组成的内部组织管理机构，明确组织目标、原则、职能等，建立组织管理制度，健全组织运行机制，完善议事规则和决策程序。明晰集团内部法人幼儿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主体责任，充分尊重</w:t>
      </w:r>
      <w:r w:rsidR="003872A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独立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法人幼儿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办学自主权，妥善处理好教育集团与法人幼儿园间责权关系。</w:t>
      </w:r>
    </w:p>
    <w:p w14:paraId="7CDCA475" w14:textId="77777777" w:rsidR="00EF5B12" w:rsidRPr="00FE4028" w:rsidRDefault="001C743E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EF5B12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</w:t>
      </w:r>
      <w:r w:rsidR="00EF5B12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促进共享，发挥资源辐射作用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379E1F08" w14:textId="77777777" w:rsidR="00EF5B12" w:rsidRPr="00FE4028" w:rsidRDefault="00EF5B12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E4028">
        <w:rPr>
          <w:rFonts w:ascii="仿宋" w:eastAsia="仿宋" w:hAnsi="仿宋" w:cs="仿宋_GB2312"/>
          <w:sz w:val="32"/>
          <w:szCs w:val="32"/>
        </w:rPr>
        <w:t>1.促进集团内场地设施资源共享。加强集团化办学资源统筹，建立健全集团内教育资源管理、使用、评估、激励等制度机制。统筹集团内场地设施设备资源，探索资源共建机制，搭建资源共享平台、信息交互平台，促进集团内资源多元供给、充分共享，不断提升硬件资源使用效率和效益。</w:t>
      </w:r>
    </w:p>
    <w:p w14:paraId="48193991" w14:textId="77777777" w:rsidR="00EF5B12" w:rsidRPr="00FE4028" w:rsidRDefault="00EF5B12" w:rsidP="00FE4028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2.支持集团内课程教学资源共享。依托教育集团资源共享平台，丰富课程教学资源供给，共享优质特色课程资源、优质教学</w:t>
      </w:r>
      <w:r w:rsidR="007B0FE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活动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资源、教师培训和教科研成果等资源。搭建教育教学研讨交流展示平台，深化课程教学改革，促进集团内各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园深度融合，整体提升集团化办学质量和水平。</w:t>
      </w:r>
    </w:p>
    <w:p w14:paraId="0AC24A58" w14:textId="77777777" w:rsidR="00EF5B12" w:rsidRPr="00FE4028" w:rsidRDefault="00EF5B12" w:rsidP="00FE4028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3.鼓励集团内</w:t>
      </w:r>
      <w:r w:rsidR="00D30CD4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管理人员、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教师交流。探索建立集团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龙头园和成员园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之间互派</w:t>
      </w:r>
      <w:r w:rsidR="00D30CD4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管理人员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双向交流、互派教师轮岗交流的制度，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完善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集团内</w:t>
      </w:r>
      <w:r w:rsidR="00D30CD4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管理人员和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教师培养、培训、评价和考核等机制。发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挥集团内优秀</w:t>
      </w:r>
      <w:r w:rsidR="00D30CD4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管理人员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和骨干教师的示范带头作用，搭建</w:t>
      </w:r>
      <w:r w:rsidR="00D30CD4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管理人员、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教师成长发展平台，促进集团内</w:t>
      </w:r>
      <w:r w:rsidR="00D30CD4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管理人员和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教师专业发展、素质提升。</w:t>
      </w:r>
    </w:p>
    <w:p w14:paraId="5AAABD33" w14:textId="77777777" w:rsidR="005E4011" w:rsidRPr="00FE4028" w:rsidRDefault="00EF5B12" w:rsidP="00473046">
      <w:pPr>
        <w:widowControl/>
        <w:spacing w:line="58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4.倡导文化引领集团</w:t>
      </w:r>
      <w:r w:rsidR="006F5083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幼儿园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内涵发展。充分发挥教育集团的品牌影响力和文化辐射力，以先进文化引领集团</w:t>
      </w:r>
      <w:r w:rsidR="00861B84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</w:t>
      </w:r>
      <w:r w:rsidR="00861B84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="003872A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发展。在尊重集团内各幼儿园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办</w:t>
      </w:r>
      <w:r w:rsidR="003872A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实际和文化传统的前提下，凝聚发展共识，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凝炼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核心价值，共谋发展愿景，丰厚集团文化内涵，培育向善向上、和谐奋进的集团文化，促进集团</w:t>
      </w:r>
      <w:r w:rsidR="00861B84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</w:t>
      </w:r>
      <w:r w:rsidR="00861B84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内涵发展，品质提升。</w:t>
      </w:r>
    </w:p>
    <w:p w14:paraId="6329464F" w14:textId="77777777" w:rsidR="005E4011" w:rsidRPr="00FE4028" w:rsidRDefault="005E4011" w:rsidP="00473046">
      <w:pPr>
        <w:widowControl/>
        <w:spacing w:line="58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861B84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四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</w:t>
      </w:r>
      <w:r w:rsidR="00861B84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改革创新，激发集团发展活力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417B3D69" w14:textId="77777777" w:rsidR="00C2439E" w:rsidRPr="00FE4028" w:rsidRDefault="00861B84" w:rsidP="00473046">
      <w:pPr>
        <w:widowControl/>
        <w:spacing w:line="58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1.探索更加灵活的用人制度。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优化岗位聘用管理，明确岗位职责、聘用期限和考核标准体系，聘用合同期满进行聘期考核，教育集团将考核结果作为重新聘任的主要依据，在岗位聘用中实现人员能上能下。</w:t>
      </w:r>
      <w:r w:rsidR="00C2439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探索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将中小学教师</w:t>
      </w:r>
      <w:r w:rsidR="00C2439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系列职称评审权下放到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人才</w:t>
      </w:r>
      <w:r w:rsidR="00C2439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智力密集的教育集团按照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管理</w:t>
      </w:r>
      <w:r w:rsidR="00C2439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权限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自主</w:t>
      </w:r>
      <w:r w:rsidR="00C2439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开展职称评审，职称评聘</w:t>
      </w:r>
      <w:proofErr w:type="gramStart"/>
      <w:r w:rsidR="00C2439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向跨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园任职</w:t>
      </w:r>
      <w:proofErr w:type="gramEnd"/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、兼课、指导的管理人员和教师倾斜。</w:t>
      </w:r>
    </w:p>
    <w:p w14:paraId="2FEFB086" w14:textId="77777777" w:rsidR="00BE66A1" w:rsidRPr="00FE4028" w:rsidRDefault="00861B84" w:rsidP="00473046">
      <w:pPr>
        <w:widowControl/>
        <w:spacing w:line="58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2.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加大</w:t>
      </w:r>
      <w:r w:rsidR="00C2439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人员经费投入，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深化人员</w:t>
      </w:r>
      <w:r w:rsidR="00C2439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薪酬制度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改革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。探索调整教育经费支出结构，更加注重对人力资源的经费投入。按照多劳多得、优</w:t>
      </w:r>
      <w:proofErr w:type="gramStart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劳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优酬的绩效奖励激励原则，科学合理核定人员薪酬。发挥财政资金效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益，加强绩效管理，调动集团</w:t>
      </w:r>
      <w:r w:rsidR="00C2439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各类人员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的积极性，促进教育集团良性运行，健康发展。</w:t>
      </w:r>
    </w:p>
    <w:p w14:paraId="1953D42E" w14:textId="77777777" w:rsidR="006B2D45" w:rsidRDefault="006B2D45">
      <w:pPr>
        <w:widowControl/>
        <w:jc w:val="left"/>
        <w:rPr>
          <w:rFonts w:ascii="黑体" w:eastAsia="黑体" w:hAnsi="黑体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仿宋_GB2312"/>
          <w:color w:val="000000" w:themeColor="text1"/>
          <w:sz w:val="32"/>
          <w:szCs w:val="32"/>
        </w:rPr>
        <w:br w:type="page"/>
      </w:r>
    </w:p>
    <w:p w14:paraId="3FFFB7D6" w14:textId="77777777" w:rsidR="00E30409" w:rsidRPr="00457792" w:rsidRDefault="00BE66A1" w:rsidP="00473046">
      <w:pPr>
        <w:spacing w:line="580" w:lineRule="exact"/>
        <w:ind w:firstLineChars="200" w:firstLine="640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457792">
        <w:rPr>
          <w:rFonts w:ascii="黑体" w:eastAsia="黑体" w:hAnsi="黑体" w:cs="仿宋_GB2312" w:hint="eastAsia"/>
          <w:color w:val="000000" w:themeColor="text1"/>
          <w:sz w:val="32"/>
          <w:szCs w:val="32"/>
        </w:rPr>
        <w:lastRenderedPageBreak/>
        <w:t>五、主要举措</w:t>
      </w:r>
    </w:p>
    <w:p w14:paraId="503C5F63" w14:textId="77777777" w:rsidR="00E30409" w:rsidRPr="00FE4028" w:rsidRDefault="00E30409" w:rsidP="00473046">
      <w:pPr>
        <w:spacing w:line="58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（一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规范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学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前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教育集团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组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建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程序</w:t>
      </w:r>
      <w:r w:rsidR="003872A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37244038" w14:textId="77777777" w:rsidR="00E30409" w:rsidRPr="00FE4028" w:rsidRDefault="00E30409" w:rsidP="00473046">
      <w:pPr>
        <w:spacing w:line="58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教育集团是指以一所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头园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为中心，</w:t>
      </w:r>
      <w:r w:rsidR="005D5EB0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与若干所</w:t>
      </w:r>
      <w:r w:rsidR="00AD7A70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</w:t>
      </w:r>
      <w:r w:rsidR="00AD7A70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 xml:space="preserve">园 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（原则上在10所以内）为纽带，以统筹优质资源为手段，以共同管理、共同发展为目的的一种教育联合体。</w:t>
      </w:r>
    </w:p>
    <w:p w14:paraId="04C0635D" w14:textId="77777777" w:rsidR="00E30409" w:rsidRPr="00334515" w:rsidRDefault="00E30409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1.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的评定。集团的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园资质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由</w:t>
      </w:r>
      <w:r w:rsidR="003872A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属地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教育</w:t>
      </w:r>
      <w:r w:rsidR="003872A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局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进行评定、认可，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园必须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是办学规范、管理高效、质量</w:t>
      </w:r>
      <w:r w:rsidR="005E401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较高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、示范性强、社会</w:t>
      </w:r>
      <w:r w:rsidR="005E401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满意度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高且</w:t>
      </w:r>
      <w:r w:rsidR="00CA34C6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至少</w:t>
      </w:r>
      <w:r w:rsidRPr="00334515">
        <w:rPr>
          <w:rFonts w:ascii="仿宋" w:eastAsia="仿宋" w:hAnsi="仿宋" w:cs="仿宋_GB2312"/>
          <w:color w:val="000000" w:themeColor="text1"/>
          <w:sz w:val="32"/>
          <w:szCs w:val="32"/>
        </w:rPr>
        <w:t>具有</w:t>
      </w:r>
      <w:r w:rsidR="00CA34C6" w:rsidRPr="00DF7E5B">
        <w:rPr>
          <w:rFonts w:ascii="仿宋" w:eastAsia="仿宋" w:hAnsi="仿宋" w:cs="仿宋_GB2312"/>
          <w:color w:val="000000" w:themeColor="text1"/>
          <w:sz w:val="32"/>
          <w:szCs w:val="32"/>
        </w:rPr>
        <w:t>6个班级</w:t>
      </w:r>
      <w:r w:rsidRPr="00334515">
        <w:rPr>
          <w:rFonts w:ascii="仿宋" w:eastAsia="仿宋" w:hAnsi="仿宋" w:cs="仿宋_GB2312"/>
          <w:color w:val="000000" w:themeColor="text1"/>
          <w:sz w:val="32"/>
          <w:szCs w:val="32"/>
        </w:rPr>
        <w:t>规模的</w:t>
      </w:r>
      <w:r w:rsidRPr="0033451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</w:t>
      </w:r>
      <w:r w:rsidRPr="00334515">
        <w:rPr>
          <w:rFonts w:ascii="仿宋" w:eastAsia="仿宋" w:hAnsi="仿宋" w:cs="仿宋_GB2312"/>
          <w:color w:val="000000" w:themeColor="text1"/>
          <w:sz w:val="32"/>
          <w:szCs w:val="32"/>
        </w:rPr>
        <w:t>园。</w:t>
      </w:r>
    </w:p>
    <w:p w14:paraId="63B0910B" w14:textId="77777777" w:rsidR="00E30409" w:rsidRPr="00FE4028" w:rsidRDefault="00E30409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2.集团成员。教育集团成员由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园组成，可以同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域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、同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层次组成集团，也可以跨层次、跨区域组成集团。各级教育行政部门根据教育均衡发展的需要，可以指定新建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儿园或薄弱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园作为成员加入本区域教育集团 。</w:t>
      </w:r>
    </w:p>
    <w:p w14:paraId="07B93DEC" w14:textId="77777777" w:rsidR="00E30409" w:rsidRPr="00FE4028" w:rsidRDefault="00E30409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3.</w:t>
      </w:r>
      <w:r w:rsidR="003872A5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集团成立。教育集团须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经</w:t>
      </w:r>
      <w:r w:rsidR="003872A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所属地区</w:t>
      </w:r>
      <w:r w:rsidR="003872A5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教育</w:t>
      </w:r>
      <w:r w:rsidR="003872A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局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认定的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牵头组织成立。由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提出集团化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办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园可行性论证报告，明确组建教育集团的任务和目的，</w:t>
      </w:r>
      <w:r w:rsidRPr="00DF7E5B">
        <w:rPr>
          <w:rFonts w:ascii="仿宋" w:eastAsia="仿宋" w:hAnsi="仿宋" w:cs="仿宋_GB2312"/>
          <w:color w:val="000000" w:themeColor="text1"/>
          <w:sz w:val="32"/>
          <w:szCs w:val="32"/>
        </w:rPr>
        <w:t>经</w:t>
      </w:r>
      <w:r w:rsidR="00FE230B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县</w:t>
      </w:r>
      <w:r w:rsidR="00FE230B" w:rsidRPr="00DF7E5B">
        <w:rPr>
          <w:rFonts w:ascii="仿宋" w:eastAsia="仿宋" w:hAnsi="仿宋" w:cs="仿宋_GB2312"/>
          <w:color w:val="000000" w:themeColor="text1"/>
          <w:sz w:val="32"/>
          <w:szCs w:val="32"/>
        </w:rPr>
        <w:t>（</w:t>
      </w:r>
      <w:r w:rsidR="00FE230B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市</w:t>
      </w:r>
      <w:r w:rsidR="00FE230B" w:rsidRPr="00DF7E5B">
        <w:rPr>
          <w:rFonts w:ascii="仿宋" w:eastAsia="仿宋" w:hAnsi="仿宋" w:cs="仿宋_GB2312"/>
          <w:color w:val="000000" w:themeColor="text1"/>
          <w:sz w:val="32"/>
          <w:szCs w:val="32"/>
        </w:rPr>
        <w:t>、区）教育</w:t>
      </w:r>
      <w:r w:rsidR="00FE230B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局组织</w:t>
      </w:r>
      <w:r w:rsidR="00421C4E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专</w:t>
      </w:r>
      <w:r w:rsidR="00FE230B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业</w:t>
      </w:r>
      <w:r w:rsidR="00FE230B" w:rsidRPr="00DF7E5B">
        <w:rPr>
          <w:rFonts w:ascii="仿宋" w:eastAsia="仿宋" w:hAnsi="仿宋" w:cs="仿宋_GB2312"/>
          <w:color w:val="000000" w:themeColor="text1"/>
          <w:sz w:val="32"/>
          <w:szCs w:val="32"/>
        </w:rPr>
        <w:t>人员</w:t>
      </w:r>
      <w:r w:rsidRPr="00DF7E5B">
        <w:rPr>
          <w:rFonts w:ascii="仿宋" w:eastAsia="仿宋" w:hAnsi="仿宋" w:cs="仿宋_GB2312"/>
          <w:color w:val="000000" w:themeColor="text1"/>
          <w:sz w:val="32"/>
          <w:szCs w:val="32"/>
        </w:rPr>
        <w:t>评审论证通过后，</w:t>
      </w:r>
      <w:r w:rsidR="00FE230B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由</w:t>
      </w:r>
      <w:r w:rsidR="003872A5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所属地区</w:t>
      </w:r>
      <w:r w:rsidR="003872A5" w:rsidRPr="00DF7E5B">
        <w:rPr>
          <w:rFonts w:ascii="仿宋" w:eastAsia="仿宋" w:hAnsi="仿宋" w:cs="仿宋_GB2312"/>
          <w:color w:val="000000" w:themeColor="text1"/>
          <w:sz w:val="32"/>
          <w:szCs w:val="32"/>
        </w:rPr>
        <w:t>教育</w:t>
      </w:r>
      <w:r w:rsidR="003872A5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局</w:t>
      </w:r>
      <w:r w:rsidRPr="00DF7E5B">
        <w:rPr>
          <w:rFonts w:ascii="仿宋" w:eastAsia="仿宋" w:hAnsi="仿宋" w:cs="仿宋_GB2312"/>
          <w:color w:val="000000" w:themeColor="text1"/>
          <w:sz w:val="32"/>
          <w:szCs w:val="32"/>
        </w:rPr>
        <w:t>核准成立。</w:t>
      </w:r>
      <w:proofErr w:type="gramStart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成员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加入须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经</w:t>
      </w:r>
      <w:r w:rsidR="00D34446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所属地区</w:t>
      </w:r>
      <w:r w:rsidR="00D34446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教育</w:t>
      </w:r>
      <w:r w:rsidR="00D34446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局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同意后，方可加入。</w:t>
      </w:r>
    </w:p>
    <w:p w14:paraId="688941ED" w14:textId="77777777" w:rsidR="00BE66A1" w:rsidRPr="00FE4028" w:rsidRDefault="00BE66A1">
      <w:pPr>
        <w:tabs>
          <w:tab w:val="center" w:pos="4153"/>
        </w:tabs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E30409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二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）构建学前教育联动发展模式</w:t>
      </w:r>
      <w:r w:rsidR="007F61F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74B30DF7" w14:textId="77777777" w:rsidR="00BE66A1" w:rsidRPr="00FE4028" w:rsidRDefault="00BE66A1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1.县域集团化发展模式</w:t>
      </w:r>
      <w:r w:rsidR="007F61F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142BBA03" w14:textId="77777777" w:rsidR="00BE66A1" w:rsidRPr="00FE4028" w:rsidRDefault="00BE66A1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以县为单位，遴选本县若干所县级</w:t>
      </w:r>
      <w:r w:rsidR="004A6E4F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4A6E4F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含县级）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以上示范幼儿园为学前教育集团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组建若干个学前教育集团，实现县域整体推进集团化和薄弱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园加入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集团化管理的目标。</w:t>
      </w:r>
    </w:p>
    <w:p w14:paraId="6C8BD38A" w14:textId="77777777" w:rsidR="00BE66A1" w:rsidRPr="00FE4028" w:rsidRDefault="00BE66A1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龙头园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+乡镇</w:t>
      </w:r>
      <w:proofErr w:type="gramStart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中心园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</w:t>
      </w:r>
      <w:r w:rsidR="00065F72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民办园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：由一所本县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+若干所乡镇中心幼儿园+若干所民办园。</w:t>
      </w:r>
    </w:p>
    <w:p w14:paraId="4B3F35CA" w14:textId="77777777" w:rsidR="00BE66A1" w:rsidRPr="00FE4028" w:rsidRDefault="00BE66A1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+村级幼儿园+小学附设幼儿园或幼儿看护点：由一所本县</w:t>
      </w:r>
      <w:proofErr w:type="gramStart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+若干所村级幼儿园+若干个村级小学附设幼儿园（看护点）。</w:t>
      </w:r>
    </w:p>
    <w:p w14:paraId="52FF6C82" w14:textId="77777777" w:rsidR="00BE66A1" w:rsidRPr="00FE4028" w:rsidRDefault="00BE66A1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3）</w:t>
      </w:r>
      <w:proofErr w:type="gramStart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龙头园+新建园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+筹建园：由一所本县</w:t>
      </w:r>
      <w:proofErr w:type="gramStart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+若干所</w:t>
      </w:r>
      <w:proofErr w:type="gramStart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新建园</w:t>
      </w:r>
      <w:proofErr w:type="gramEnd"/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+若干所筹建园。</w:t>
      </w:r>
    </w:p>
    <w:p w14:paraId="2BF2A72C" w14:textId="77777777" w:rsidR="00BE66A1" w:rsidRPr="00457792" w:rsidRDefault="00BE66A1" w:rsidP="00FE4028">
      <w:pPr>
        <w:pStyle w:val="2"/>
        <w:tabs>
          <w:tab w:val="center" w:pos="4153"/>
        </w:tabs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2.跨区域优质帮扶薄弱模式。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ab/>
      </w:r>
    </w:p>
    <w:p w14:paraId="170404B3" w14:textId="77777777" w:rsidR="00BE66A1" w:rsidRPr="00FE4028" w:rsidRDefault="00BE66A1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1）高校+设区市：由一所开设学前教育专业的高校对口帮扶1</w:t>
      </w:r>
      <w:r w:rsidR="00457792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—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2个设区市，重点帮扶提升所在设区市学前教育保教质量。</w:t>
      </w:r>
    </w:p>
    <w:p w14:paraId="103505F8" w14:textId="77777777" w:rsidR="00BE66A1" w:rsidRPr="00FE4028" w:rsidRDefault="00BE66A1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2）区直自治区示范园+贫困县：由一所区直自治区示范幼儿园对口帮扶1</w:t>
      </w:r>
      <w:r w:rsidR="00457792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—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3个贫困县，提升贫困县的学前教育保教质量。</w:t>
      </w:r>
    </w:p>
    <w:p w14:paraId="5D32C4BF" w14:textId="77777777" w:rsidR="00BE66A1" w:rsidRPr="00FE4028" w:rsidRDefault="00BE66A1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市直市级以上示范园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+县级幼儿园：由一所优质</w:t>
      </w:r>
      <w:r w:rsidR="007F61F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市</w:t>
      </w:r>
      <w:r w:rsidR="007F61F5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直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市级以上示范园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+若干所县级幼儿园，通过帮扶提升县级幼儿园的办园水平。</w:t>
      </w:r>
    </w:p>
    <w:p w14:paraId="7FB2C26D" w14:textId="77777777" w:rsidR="00BE66A1" w:rsidRPr="00FE4028" w:rsidRDefault="00BE66A1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E30409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）加强集团组织管理</w:t>
      </w:r>
      <w:r w:rsidR="007F61F5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07D9D726" w14:textId="77777777" w:rsidR="00534AF4" w:rsidRPr="00FE4028" w:rsidRDefault="00BE66A1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学前教育集团设立理事会和监事会。理事会是集团各项工作事务的执行组织，负责制定和落实集团发展规划、章程和年度工作计划，集团日常工作事务管理。理事会设在龙头园，理事长由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龙头园园长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担任，其成员由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中层以上干部和集团成员园长担任。</w:t>
      </w:r>
      <w:r w:rsidR="00E4247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学前教育集团化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实行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负责制，</w:t>
      </w:r>
      <w:proofErr w:type="gramStart"/>
      <w:r w:rsidR="00E4247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龙头园组织</w:t>
      </w:r>
      <w:proofErr w:type="gramEnd"/>
      <w:r w:rsidR="00E4247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协调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集团的行政工作以及业务指导。集团成员服从</w:t>
      </w:r>
      <w:proofErr w:type="gramStart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龙头园园长</w:t>
      </w:r>
      <w:proofErr w:type="gramEnd"/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的领导和指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导。监事会是学前教育集团的监督组织，具体负责对集团重大事项（办园方向、重大工程项目等）监督。</w:t>
      </w:r>
      <w:r w:rsidRPr="00FE4028">
        <w:rPr>
          <w:rFonts w:ascii="仿宋" w:eastAsia="仿宋" w:hAnsi="仿宋" w:cs="仿宋_GB2312" w:hint="eastAsia"/>
          <w:sz w:val="32"/>
          <w:szCs w:val="32"/>
        </w:rPr>
        <w:t>监事会监事长由市、县教育局分管领导兼任，成员由幼教专干、幼教教研员、职工代表、家长代表组成。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理事会原则上每学期向监事会报告一次工作。</w:t>
      </w:r>
    </w:p>
    <w:p w14:paraId="4B1F708C" w14:textId="77777777" w:rsidR="00BE66A1" w:rsidRPr="00457792" w:rsidRDefault="00BE66A1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30409"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）改善集团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proofErr w:type="gramEnd"/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办园条件</w:t>
      </w:r>
      <w:r w:rsidR="00EA5DBB"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102D76FD" w14:textId="77777777" w:rsidR="00BE66A1" w:rsidRPr="00FE4028" w:rsidRDefault="00D11158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集团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龙头园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要按照</w:t>
      </w:r>
      <w:r w:rsidR="00F10F1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落实</w:t>
      </w:r>
      <w:r w:rsidR="00F10F12" w:rsidRPr="00FE4028">
        <w:rPr>
          <w:rFonts w:ascii="仿宋" w:eastAsia="仿宋" w:hAnsi="仿宋"/>
          <w:color w:val="000000" w:themeColor="text1"/>
          <w:sz w:val="32"/>
          <w:szCs w:val="32"/>
        </w:rPr>
        <w:t>《3</w:t>
      </w:r>
      <w:r w:rsidR="0045779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—</w:t>
      </w:r>
      <w:r w:rsidR="00F10F12" w:rsidRPr="00FE4028">
        <w:rPr>
          <w:rFonts w:ascii="仿宋" w:eastAsia="仿宋" w:hAnsi="仿宋"/>
          <w:color w:val="000000" w:themeColor="text1"/>
          <w:sz w:val="32"/>
          <w:szCs w:val="32"/>
        </w:rPr>
        <w:t>6岁儿童学习与</w:t>
      </w:r>
      <w:r w:rsidR="00334515">
        <w:rPr>
          <w:rFonts w:ascii="仿宋" w:eastAsia="仿宋" w:hAnsi="仿宋" w:hint="eastAsia"/>
          <w:color w:val="000000" w:themeColor="text1"/>
          <w:sz w:val="32"/>
          <w:szCs w:val="32"/>
        </w:rPr>
        <w:t>发展</w:t>
      </w:r>
      <w:r w:rsidR="00F10F1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指</w:t>
      </w:r>
      <w:r w:rsidR="00F10F12" w:rsidRPr="00FE4028">
        <w:rPr>
          <w:rFonts w:ascii="仿宋" w:eastAsia="仿宋" w:hAnsi="仿宋"/>
          <w:color w:val="000000" w:themeColor="text1"/>
          <w:sz w:val="32"/>
          <w:szCs w:val="32"/>
        </w:rPr>
        <w:t>南》</w:t>
      </w:r>
      <w:r w:rsidR="00F10F1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F10F12" w:rsidRPr="00FE4028">
        <w:rPr>
          <w:rFonts w:ascii="仿宋" w:eastAsia="仿宋" w:hAnsi="仿宋"/>
          <w:color w:val="000000" w:themeColor="text1"/>
          <w:sz w:val="32"/>
          <w:szCs w:val="32"/>
        </w:rPr>
        <w:t>推进幼儿园游戏化课程改革</w:t>
      </w:r>
      <w:r w:rsidR="00F10F1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的需要，认真指导集团内的薄弱</w:t>
      </w:r>
      <w:proofErr w:type="gramStart"/>
      <w:r w:rsidR="00F10F1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园合理</w:t>
      </w:r>
      <w:proofErr w:type="gramEnd"/>
      <w:r w:rsidR="00F10F1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规划使用儿童学习与生活空间</w:t>
      </w:r>
      <w:r w:rsidR="00334515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集团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proofErr w:type="gramEnd"/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要对</w:t>
      </w:r>
      <w:r w:rsidR="00BE66A1" w:rsidRPr="00FE4028">
        <w:rPr>
          <w:rFonts w:ascii="仿宋" w:eastAsia="仿宋" w:hAnsi="仿宋"/>
          <w:color w:val="000000" w:themeColor="text1"/>
          <w:sz w:val="32"/>
          <w:szCs w:val="32"/>
        </w:rPr>
        <w:t>照</w:t>
      </w:r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自治区和市县有关办园标准，</w:t>
      </w:r>
      <w:r w:rsidR="00F10F1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加</w:t>
      </w:r>
      <w:r w:rsidR="00F10F12" w:rsidRPr="00FE4028">
        <w:rPr>
          <w:rFonts w:ascii="仿宋" w:eastAsia="仿宋" w:hAnsi="仿宋"/>
          <w:color w:val="000000" w:themeColor="text1"/>
          <w:sz w:val="32"/>
          <w:szCs w:val="32"/>
        </w:rPr>
        <w:t>快实施幼儿园改扩建项目，</w:t>
      </w:r>
      <w:r w:rsidR="00F10F1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大力</w:t>
      </w:r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整治幼儿</w:t>
      </w:r>
      <w:proofErr w:type="gramStart"/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园周</w:t>
      </w:r>
      <w:proofErr w:type="gramEnd"/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边环境，美化</w:t>
      </w:r>
      <w:r w:rsidR="002D44EC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园容园貌，更新设备设施，改善班级通风、排水、采光及相关生活条件，不</w:t>
      </w:r>
      <w:r w:rsidR="002D44EC" w:rsidRPr="00FE4028">
        <w:rPr>
          <w:rFonts w:ascii="仿宋" w:eastAsia="仿宋" w:hAnsi="仿宋"/>
          <w:color w:val="000000" w:themeColor="text1"/>
          <w:sz w:val="32"/>
          <w:szCs w:val="32"/>
        </w:rPr>
        <w:t>断改善办园条件</w:t>
      </w:r>
      <w:r w:rsidR="002D44EC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3B3A905E" w14:textId="77777777" w:rsidR="00BE66A1" w:rsidRPr="00457792" w:rsidRDefault="00BE66A1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D34446"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）规范集团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园内部</w:t>
      </w:r>
      <w:proofErr w:type="gramEnd"/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="00EA5DBB"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50C1326D" w14:textId="77777777" w:rsidR="00BE66A1" w:rsidRPr="00FE4028" w:rsidRDefault="0050383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要把先进的管理模式</w:t>
      </w:r>
      <w:r w:rsidR="009034F6">
        <w:rPr>
          <w:rFonts w:ascii="仿宋" w:eastAsia="仿宋" w:hAnsi="仿宋" w:hint="eastAsia"/>
          <w:color w:val="000000" w:themeColor="text1"/>
          <w:sz w:val="32"/>
          <w:szCs w:val="32"/>
        </w:rPr>
        <w:t>推广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到集团</w:t>
      </w:r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园，</w:t>
      </w:r>
      <w:r w:rsidR="001E0EBE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向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="001E0EBE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proofErr w:type="gramEnd"/>
      <w:r w:rsidR="00786E2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提出有关幼儿园教育教学管理</w:t>
      </w:r>
      <w:r w:rsidR="0012650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2650B">
        <w:rPr>
          <w:rFonts w:ascii="仿宋" w:eastAsia="仿宋" w:hAnsi="仿宋"/>
          <w:color w:val="000000" w:themeColor="text1"/>
          <w:sz w:val="32"/>
          <w:szCs w:val="32"/>
        </w:rPr>
        <w:t>园</w:t>
      </w:r>
      <w:proofErr w:type="gramStart"/>
      <w:r w:rsidR="0012650B">
        <w:rPr>
          <w:rFonts w:ascii="仿宋" w:eastAsia="仿宋" w:hAnsi="仿宋"/>
          <w:color w:val="000000" w:themeColor="text1"/>
          <w:sz w:val="32"/>
          <w:szCs w:val="32"/>
        </w:rPr>
        <w:t>务</w:t>
      </w:r>
      <w:proofErr w:type="gramEnd"/>
      <w:r w:rsidR="0012650B">
        <w:rPr>
          <w:rFonts w:ascii="仿宋" w:eastAsia="仿宋" w:hAnsi="仿宋"/>
          <w:color w:val="000000" w:themeColor="text1"/>
          <w:sz w:val="32"/>
          <w:szCs w:val="32"/>
        </w:rPr>
        <w:t>管理等</w:t>
      </w:r>
      <w:r w:rsidR="00786E2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方面富有针对性的意见或规划书，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通过</w:t>
      </w:r>
      <w:r w:rsidR="00EC485C">
        <w:rPr>
          <w:rFonts w:ascii="仿宋" w:eastAsia="仿宋" w:hAnsi="仿宋" w:hint="eastAsia"/>
          <w:color w:val="000000" w:themeColor="text1"/>
          <w:sz w:val="32"/>
          <w:szCs w:val="32"/>
        </w:rPr>
        <w:t>多种方式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形式，帮助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更新教育理念</w:t>
      </w:r>
      <w:r w:rsidR="00786E2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、规范园</w:t>
      </w:r>
      <w:proofErr w:type="gramStart"/>
      <w:r w:rsidR="00786E2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务</w:t>
      </w:r>
      <w:proofErr w:type="gramEnd"/>
      <w:r w:rsidR="00786E2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管理、完善组织机构和健全各项</w:t>
      </w:r>
      <w:r w:rsidR="00EC485C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="00786E2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制度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，帮助集团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FE4028">
        <w:rPr>
          <w:rFonts w:ascii="仿宋" w:eastAsia="仿宋" w:hAnsi="仿宋"/>
          <w:color w:val="000000" w:themeColor="text1"/>
          <w:sz w:val="32"/>
          <w:szCs w:val="32"/>
        </w:rPr>
        <w:t>园</w:t>
      </w:r>
      <w:proofErr w:type="gramEnd"/>
      <w:r w:rsidR="00786E2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提升管理水平</w:t>
      </w:r>
      <w:r w:rsidR="00334515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E66A1" w:rsidRPr="00FE4028">
        <w:rPr>
          <w:rFonts w:ascii="仿宋" w:eastAsia="仿宋" w:hAnsi="仿宋" w:hint="eastAsia"/>
          <w:sz w:val="32"/>
          <w:szCs w:val="32"/>
        </w:rPr>
        <w:t>集团</w:t>
      </w:r>
      <w:proofErr w:type="gramStart"/>
      <w:r w:rsidR="001E0EBE">
        <w:rPr>
          <w:rFonts w:ascii="仿宋" w:eastAsia="仿宋" w:hAnsi="仿宋" w:hint="eastAsia"/>
          <w:sz w:val="32"/>
          <w:szCs w:val="32"/>
        </w:rPr>
        <w:t>成员</w:t>
      </w:r>
      <w:r w:rsidR="00BE66A1" w:rsidRPr="00FE4028">
        <w:rPr>
          <w:rFonts w:ascii="仿宋" w:eastAsia="仿宋" w:hAnsi="仿宋" w:hint="eastAsia"/>
          <w:sz w:val="32"/>
          <w:szCs w:val="32"/>
        </w:rPr>
        <w:t>园</w:t>
      </w:r>
      <w:proofErr w:type="gramEnd"/>
      <w:r w:rsidR="00BE66A1" w:rsidRPr="00FE4028">
        <w:rPr>
          <w:rFonts w:ascii="仿宋" w:eastAsia="仿宋" w:hAnsi="仿宋" w:hint="eastAsia"/>
          <w:sz w:val="32"/>
          <w:szCs w:val="32"/>
        </w:rPr>
        <w:t>要健全内设机构和管理制度，认真执行各项规章制度，在显要位置公示招生、收费、儿童膳食和财务管理等主要制度，要采取多种形式向儿童家长和社会公布教职工资质、儿童膳食营养和保育教育活动等相关信息，鼓励实行信息化管理。</w:t>
      </w:r>
    </w:p>
    <w:p w14:paraId="1EB855FE" w14:textId="77777777" w:rsidR="006B2D45" w:rsidRDefault="006B2D45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br w:type="page"/>
      </w:r>
    </w:p>
    <w:p w14:paraId="20C7B550" w14:textId="77777777" w:rsidR="00BE66A1" w:rsidRPr="00457792" w:rsidRDefault="00BE66A1" w:rsidP="00473046">
      <w:pPr>
        <w:spacing w:line="5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</w:t>
      </w:r>
      <w:r w:rsidR="00D34446"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）加强集团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园队伍</w:t>
      </w:r>
      <w:proofErr w:type="gramEnd"/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建设</w:t>
      </w:r>
      <w:r w:rsidR="00EA5DBB"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8836ED8" w14:textId="77777777" w:rsidR="00BE66A1" w:rsidRPr="00FE4028" w:rsidRDefault="001428FA" w:rsidP="00473046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集团</w:t>
      </w:r>
      <w:proofErr w:type="gramStart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要帮助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教师快速提高保教工作能力和综合素质。</w:t>
      </w:r>
      <w:proofErr w:type="gramStart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派驻中层以上管理</w:t>
      </w:r>
      <w:r w:rsidR="00D30CD4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人员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、骨干教师对集团内薄弱幼儿园进行</w:t>
      </w:r>
      <w:r w:rsidR="00756D2D">
        <w:rPr>
          <w:rFonts w:ascii="仿宋" w:eastAsia="仿宋" w:hAnsi="仿宋" w:hint="eastAsia"/>
          <w:color w:val="000000" w:themeColor="text1"/>
          <w:sz w:val="32"/>
          <w:szCs w:val="32"/>
        </w:rPr>
        <w:t>保育教育活动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、教科研活动、家园共育工作等方面的指导。集团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园园长</w:t>
      </w:r>
      <w:proofErr w:type="gramEnd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FE4028">
        <w:rPr>
          <w:rFonts w:ascii="仿宋" w:eastAsia="仿宋" w:hAnsi="仿宋"/>
          <w:color w:val="000000" w:themeColor="text1"/>
          <w:sz w:val="32"/>
          <w:szCs w:val="32"/>
        </w:rPr>
        <w:t>副园长每学期到集团的</w:t>
      </w:r>
      <w:proofErr w:type="gramStart"/>
      <w:r w:rsidRPr="00FE4028">
        <w:rPr>
          <w:rFonts w:ascii="仿宋" w:eastAsia="仿宋" w:hAnsi="仿宋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挂职学习，学习</w:t>
      </w:r>
      <w:proofErr w:type="gramStart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的日常管理、教学</w:t>
      </w:r>
      <w:r w:rsidR="00756D2D">
        <w:rPr>
          <w:rFonts w:ascii="仿宋" w:eastAsia="仿宋" w:hAnsi="仿宋" w:hint="eastAsia"/>
          <w:color w:val="000000" w:themeColor="text1"/>
          <w:sz w:val="32"/>
          <w:szCs w:val="32"/>
        </w:rPr>
        <w:t>管理等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；每学期选派教师到</w:t>
      </w:r>
      <w:proofErr w:type="gramStart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龙头</w:t>
      </w:r>
      <w:r w:rsidRPr="00FE4028">
        <w:rPr>
          <w:rFonts w:ascii="仿宋" w:eastAsia="仿宋" w:hAnsi="仿宋"/>
          <w:color w:val="000000" w:themeColor="text1"/>
          <w:sz w:val="32"/>
          <w:szCs w:val="32"/>
        </w:rPr>
        <w:t>园</w:t>
      </w:r>
      <w:r w:rsidR="00CC7B28">
        <w:rPr>
          <w:rFonts w:ascii="仿宋" w:eastAsia="仿宋" w:hAnsi="仿宋" w:hint="eastAsia"/>
          <w:color w:val="000000" w:themeColor="text1"/>
          <w:sz w:val="32"/>
          <w:szCs w:val="32"/>
        </w:rPr>
        <w:t>跟岗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，学习</w:t>
      </w:r>
      <w:r w:rsidR="00756D2D">
        <w:rPr>
          <w:rFonts w:ascii="仿宋" w:eastAsia="仿宋" w:hAnsi="仿宋" w:hint="eastAsia"/>
          <w:color w:val="000000" w:themeColor="text1"/>
          <w:sz w:val="32"/>
          <w:szCs w:val="32"/>
        </w:rPr>
        <w:t>班级管理、教学组织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、教研活动等。</w:t>
      </w:r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集团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proofErr w:type="gramEnd"/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要严格执行国家关于幼儿园岗位设置标准，足额配备教职工，依法聘用具备从业资格的工作人员，支持教职工参加各</w:t>
      </w:r>
      <w:proofErr w:type="gramStart"/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类继续</w:t>
      </w:r>
      <w:proofErr w:type="gramEnd"/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教育，鼓励专任教师提升学历。</w:t>
      </w:r>
    </w:p>
    <w:p w14:paraId="55401176" w14:textId="77777777" w:rsidR="00BE66A1" w:rsidRPr="00457792" w:rsidRDefault="00BE66A1" w:rsidP="00473046">
      <w:pPr>
        <w:spacing w:line="5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D34446"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七</w:t>
      </w: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）提高集团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proofErr w:type="gramEnd"/>
      <w:r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保教质量</w:t>
      </w:r>
      <w:r w:rsidR="00EA5DBB" w:rsidRPr="0045779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15EAB02A" w14:textId="77777777" w:rsidR="00BE66A1" w:rsidRPr="00FE4028" w:rsidRDefault="001428FA" w:rsidP="00473046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集团</w:t>
      </w:r>
      <w:proofErr w:type="gramStart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要</w:t>
      </w:r>
      <w:r w:rsidR="009405C7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检查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="009405C7" w:rsidRPr="00FE4028">
        <w:rPr>
          <w:rFonts w:ascii="仿宋" w:eastAsia="仿宋" w:hAnsi="仿宋"/>
          <w:color w:val="000000" w:themeColor="text1"/>
          <w:sz w:val="32"/>
          <w:szCs w:val="32"/>
        </w:rPr>
        <w:t>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儿童学习与生活环境及材料，观察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="009405C7" w:rsidRPr="00FE4028">
        <w:rPr>
          <w:rFonts w:ascii="仿宋" w:eastAsia="仿宋" w:hAnsi="仿宋"/>
          <w:color w:val="000000" w:themeColor="text1"/>
          <w:sz w:val="32"/>
          <w:szCs w:val="32"/>
        </w:rPr>
        <w:t>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儿童的一日生活安排及各环节活动组织，提出指导意见和建议。</w:t>
      </w:r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集团内的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proofErr w:type="gramEnd"/>
      <w:r w:rsidR="00BE66A1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要为儿童提供丰富、适宜的图书及玩具材料，结合季节变化和儿童年龄特点科学安排与组织一日生活，保证儿童户外活动和自主游戏的时间。</w:t>
      </w:r>
    </w:p>
    <w:p w14:paraId="6774FBFE" w14:textId="77777777" w:rsidR="0025761D" w:rsidRPr="00FE4028" w:rsidRDefault="0025761D" w:rsidP="00473046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D34446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八</w:t>
      </w:r>
      <w:r w:rsidRPr="00FE4028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建立合作共享的资源平台。</w:t>
      </w:r>
    </w:p>
    <w:p w14:paraId="0DF43D15" w14:textId="77777777" w:rsidR="0025761D" w:rsidRPr="00FE4028" w:rsidRDefault="0025761D" w:rsidP="00473046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集团</w:t>
      </w:r>
      <w:proofErr w:type="gramStart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龙</w:t>
      </w:r>
      <w:r w:rsidRPr="00FE4028">
        <w:rPr>
          <w:rFonts w:ascii="仿宋" w:eastAsia="仿宋" w:hAnsi="仿宋"/>
          <w:color w:val="000000" w:themeColor="text1"/>
          <w:sz w:val="32"/>
          <w:szCs w:val="32"/>
        </w:rPr>
        <w:t>头园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要全面开放本</w:t>
      </w:r>
      <w:proofErr w:type="gramStart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园教育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资源，通过网络实现教育资源共享，包括课件、教案、图片资源等，并根据集团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FE4028">
        <w:rPr>
          <w:rFonts w:ascii="仿宋" w:eastAsia="仿宋" w:hAnsi="仿宋"/>
          <w:color w:val="000000" w:themeColor="text1"/>
          <w:sz w:val="32"/>
          <w:szCs w:val="32"/>
        </w:rPr>
        <w:t>园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要求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尽可能提供力所能及的帮助服务。帮助</w:t>
      </w:r>
      <w:proofErr w:type="gramStart"/>
      <w:r w:rsidR="001E0EBE">
        <w:rPr>
          <w:rFonts w:ascii="仿宋" w:eastAsia="仿宋" w:hAnsi="仿宋" w:hint="eastAsia"/>
          <w:color w:val="000000" w:themeColor="text1"/>
          <w:sz w:val="32"/>
          <w:szCs w:val="32"/>
        </w:rPr>
        <w:t>成员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园</w:t>
      </w:r>
      <w:proofErr w:type="gramEnd"/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建立幼儿成长档案，开展教师业务培训，指导环境创设、安全卫生保健工作等。</w:t>
      </w:r>
    </w:p>
    <w:p w14:paraId="6DD80121" w14:textId="77777777" w:rsidR="006B2D45" w:rsidRDefault="006B2D45">
      <w:pPr>
        <w:widowControl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z w:val="32"/>
          <w:szCs w:val="32"/>
        </w:rPr>
        <w:br w:type="page"/>
      </w:r>
    </w:p>
    <w:p w14:paraId="12B0392A" w14:textId="77777777" w:rsidR="007E7E15" w:rsidRPr="00FE4028" w:rsidRDefault="0019212B">
      <w:pPr>
        <w:tabs>
          <w:tab w:val="center" w:pos="4153"/>
        </w:tabs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457792"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六</w:t>
      </w:r>
      <w:r w:rsidR="00BE66A1" w:rsidRPr="00457792">
        <w:rPr>
          <w:rFonts w:ascii="黑体" w:eastAsia="黑体" w:hAnsi="黑体" w:cs="黑体" w:hint="eastAsia"/>
          <w:color w:val="000000" w:themeColor="text1"/>
          <w:sz w:val="32"/>
          <w:szCs w:val="32"/>
        </w:rPr>
        <w:t>、保障措施</w:t>
      </w:r>
      <w:r w:rsidR="00A35D79" w:rsidRPr="00457792">
        <w:rPr>
          <w:rFonts w:ascii="黑体" w:eastAsia="黑体" w:hAnsi="黑体" w:cs="黑体"/>
          <w:color w:val="000000" w:themeColor="text1"/>
          <w:sz w:val="32"/>
          <w:szCs w:val="32"/>
        </w:rPr>
        <w:tab/>
      </w:r>
    </w:p>
    <w:p w14:paraId="0D8DC293" w14:textId="77777777" w:rsidR="007E7E15" w:rsidRPr="00FE4028" w:rsidRDefault="00BE66A1">
      <w:pPr>
        <w:tabs>
          <w:tab w:val="center" w:pos="4153"/>
        </w:tabs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加强组织</w:t>
      </w:r>
      <w:r w:rsidR="00411A0E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领导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126E2B5E" w14:textId="77777777" w:rsidR="00943267" w:rsidRPr="00457792" w:rsidRDefault="00AB3B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自治区教育厅</w:t>
      </w:r>
      <w:r w:rsidR="00411A0E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将学前</w:t>
      </w:r>
      <w:r w:rsidR="00411A0E" w:rsidRPr="00FE4028">
        <w:rPr>
          <w:rFonts w:ascii="仿宋" w:eastAsia="仿宋" w:hAnsi="仿宋"/>
          <w:color w:val="000000" w:themeColor="text1"/>
          <w:sz w:val="32"/>
          <w:szCs w:val="32"/>
        </w:rPr>
        <w:t>教育</w:t>
      </w:r>
      <w:r w:rsidR="00411A0E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集团化办园</w:t>
      </w:r>
      <w:r w:rsidR="00411A0E" w:rsidRPr="00FE4028">
        <w:rPr>
          <w:rFonts w:ascii="仿宋" w:eastAsia="仿宋" w:hAnsi="仿宋"/>
          <w:color w:val="000000" w:themeColor="text1"/>
          <w:sz w:val="32"/>
          <w:szCs w:val="32"/>
        </w:rPr>
        <w:t>改革</w:t>
      </w:r>
      <w:r w:rsidR="00411A0E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作为基础教育综合改革重点项目予以推进。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各</w:t>
      </w:r>
      <w:r w:rsidR="000C29EA" w:rsidRPr="00FE4028">
        <w:rPr>
          <w:rFonts w:ascii="仿宋" w:eastAsia="仿宋" w:hAnsi="仿宋"/>
          <w:color w:val="000000" w:themeColor="text1"/>
          <w:sz w:val="32"/>
          <w:szCs w:val="32"/>
        </w:rPr>
        <w:t>市、县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C29EA" w:rsidRPr="00FE4028">
        <w:rPr>
          <w:rFonts w:ascii="仿宋" w:eastAsia="仿宋" w:hAnsi="仿宋"/>
          <w:color w:val="000000" w:themeColor="text1"/>
          <w:sz w:val="32"/>
          <w:szCs w:val="32"/>
        </w:rPr>
        <w:t>市、区）教育</w:t>
      </w:r>
      <w:r w:rsidR="00F62228">
        <w:rPr>
          <w:rFonts w:ascii="仿宋" w:eastAsia="仿宋" w:hAnsi="仿宋" w:hint="eastAsia"/>
          <w:color w:val="000000" w:themeColor="text1"/>
          <w:sz w:val="32"/>
          <w:szCs w:val="32"/>
        </w:rPr>
        <w:t>局</w:t>
      </w:r>
      <w:r w:rsidR="000C29EA" w:rsidRPr="00FE4028">
        <w:rPr>
          <w:rFonts w:ascii="仿宋" w:eastAsia="仿宋" w:hAnsi="仿宋"/>
          <w:color w:val="000000" w:themeColor="text1"/>
          <w:sz w:val="32"/>
          <w:szCs w:val="32"/>
        </w:rPr>
        <w:t>要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成立以局长为组长的学前教育集团</w:t>
      </w:r>
      <w:r w:rsidR="00411A0E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化办园</w:t>
      </w:r>
      <w:r w:rsidR="000C29EA" w:rsidRPr="00FE4028">
        <w:rPr>
          <w:rFonts w:ascii="仿宋" w:eastAsia="仿宋" w:hAnsi="仿宋"/>
          <w:color w:val="000000" w:themeColor="text1"/>
          <w:sz w:val="32"/>
          <w:szCs w:val="32"/>
        </w:rPr>
        <w:t>改革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工作领导小组，</w:t>
      </w:r>
      <w:r w:rsidR="00DE7FA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每年召开工作例会，制定本地</w:t>
      </w:r>
      <w:r w:rsidR="00DE7FA2" w:rsidRPr="00FE4028">
        <w:rPr>
          <w:rFonts w:ascii="仿宋" w:eastAsia="仿宋" w:hAnsi="仿宋"/>
          <w:color w:val="000000" w:themeColor="text1"/>
          <w:sz w:val="32"/>
          <w:szCs w:val="32"/>
        </w:rPr>
        <w:t>学前教育</w:t>
      </w:r>
      <w:r w:rsidR="00DE7FA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集团化办学</w:t>
      </w:r>
      <w:r w:rsidR="00DE7FA2" w:rsidRPr="00FE4028">
        <w:rPr>
          <w:rFonts w:ascii="仿宋" w:eastAsia="仿宋" w:hAnsi="仿宋"/>
          <w:color w:val="000000" w:themeColor="text1"/>
          <w:sz w:val="32"/>
          <w:szCs w:val="32"/>
        </w:rPr>
        <w:t>改革</w:t>
      </w:r>
      <w:r w:rsidR="00DE7FA2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总体规划，明确目</w:t>
      </w:r>
      <w:r w:rsidR="007E7E1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标任务，落实各项推进举措，加强调研，全程跟踪各教育集团发展情况。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有关</w:t>
      </w:r>
      <w:r w:rsidR="003E4125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高</w:t>
      </w:r>
      <w:r w:rsidR="003E4125" w:rsidRPr="00FE4028">
        <w:rPr>
          <w:rFonts w:ascii="仿宋" w:eastAsia="仿宋" w:hAnsi="仿宋"/>
          <w:color w:val="000000" w:themeColor="text1"/>
          <w:sz w:val="32"/>
          <w:szCs w:val="32"/>
        </w:rPr>
        <w:t>校、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幼</w:t>
      </w:r>
      <w:r w:rsidR="000C29EA" w:rsidRPr="00FE4028">
        <w:rPr>
          <w:rFonts w:ascii="仿宋" w:eastAsia="仿宋" w:hAnsi="仿宋"/>
          <w:color w:val="000000" w:themeColor="text1"/>
          <w:sz w:val="32"/>
          <w:szCs w:val="32"/>
        </w:rPr>
        <w:t>儿园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相应成立工作小组，明确职责，加强配合，协同做好学</w:t>
      </w:r>
      <w:r w:rsidR="000C29EA" w:rsidRPr="00FE4028">
        <w:rPr>
          <w:rFonts w:ascii="仿宋" w:eastAsia="仿宋" w:hAnsi="仿宋"/>
          <w:color w:val="000000" w:themeColor="text1"/>
          <w:sz w:val="32"/>
          <w:szCs w:val="32"/>
        </w:rPr>
        <w:t>前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教育集团办园</w:t>
      </w:r>
      <w:r w:rsidR="000C29EA" w:rsidRPr="00FE4028">
        <w:rPr>
          <w:rFonts w:ascii="仿宋" w:eastAsia="仿宋" w:hAnsi="仿宋"/>
          <w:color w:val="000000" w:themeColor="text1"/>
          <w:sz w:val="32"/>
          <w:szCs w:val="32"/>
        </w:rPr>
        <w:t>改革</w:t>
      </w:r>
      <w:r w:rsidR="000C29EA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工作。</w:t>
      </w:r>
      <w:r w:rsidR="003E4125" w:rsidRPr="00FE4028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14:paraId="27825DD6" w14:textId="77777777" w:rsidR="00411A0E" w:rsidRPr="00FE4028" w:rsidRDefault="00411A0E" w:rsidP="00FE4028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theme="minorBidi"/>
          <w:color w:val="000000" w:themeColor="text1"/>
          <w:kern w:val="2"/>
          <w:sz w:val="32"/>
          <w:szCs w:val="32"/>
        </w:rPr>
      </w:pPr>
      <w:r w:rsidRPr="00FE4028">
        <w:rPr>
          <w:rFonts w:ascii="仿宋" w:eastAsia="仿宋" w:hAnsi="仿宋" w:cstheme="minorBidi" w:hint="eastAsia"/>
          <w:color w:val="000000" w:themeColor="text1"/>
          <w:kern w:val="2"/>
          <w:sz w:val="32"/>
          <w:szCs w:val="32"/>
        </w:rPr>
        <w:t>（二）健全工作推进机制。</w:t>
      </w:r>
    </w:p>
    <w:p w14:paraId="4F56A66B" w14:textId="77777777" w:rsidR="00411A0E" w:rsidRPr="00207E61" w:rsidRDefault="00411A0E" w:rsidP="00451008">
      <w:pPr>
        <w:pStyle w:val="aa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theme="minorBidi"/>
          <w:color w:val="000000" w:themeColor="text1"/>
          <w:kern w:val="2"/>
          <w:sz w:val="32"/>
          <w:szCs w:val="32"/>
        </w:rPr>
      </w:pP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建立学前</w:t>
      </w:r>
      <w:r w:rsidRPr="00FE4028">
        <w:rPr>
          <w:rFonts w:ascii="仿宋" w:eastAsia="仿宋" w:hAnsi="仿宋"/>
          <w:color w:val="000000" w:themeColor="text1"/>
          <w:sz w:val="32"/>
          <w:szCs w:val="32"/>
        </w:rPr>
        <w:t>教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育集团化</w:t>
      </w:r>
      <w:r w:rsidRPr="00FE4028">
        <w:rPr>
          <w:rFonts w:ascii="仿宋" w:eastAsia="仿宋" w:hAnsi="仿宋"/>
          <w:color w:val="000000" w:themeColor="text1"/>
          <w:sz w:val="32"/>
          <w:szCs w:val="32"/>
        </w:rPr>
        <w:t>办园改革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工作领导小组工作例会制度，以问题为导向，协调解决问题。建立工作报告制度，各集团每半年向领导小组报告集团化办学工作开展情况。建立集团化办学实践展示制度，各集团每年举办</w:t>
      </w:r>
      <w:r w:rsidR="00D67A68">
        <w:rPr>
          <w:rFonts w:ascii="仿宋" w:eastAsia="仿宋" w:hAnsi="仿宋" w:hint="eastAsia"/>
          <w:color w:val="000000" w:themeColor="text1"/>
          <w:sz w:val="32"/>
          <w:szCs w:val="32"/>
        </w:rPr>
        <w:t>至少1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次集团化办学实践及研讨活动。</w:t>
      </w:r>
      <w:r w:rsidR="00207E6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各级</w:t>
      </w:r>
      <w:r w:rsidR="00207E61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教育行政部门</w:t>
      </w:r>
      <w:r w:rsidR="00207E6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每年组织</w:t>
      </w:r>
      <w:r w:rsidR="00207E61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1</w:t>
      </w:r>
      <w:r w:rsidR="00207E61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—</w:t>
      </w:r>
      <w:r w:rsidR="00207E61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2次集团化办学改革</w:t>
      </w:r>
      <w:r w:rsidR="00207E61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的工作交流会或研讨会，总结提炼集团化办学的经验。</w:t>
      </w:r>
    </w:p>
    <w:p w14:paraId="4A3B423E" w14:textId="77777777" w:rsidR="00F4031D" w:rsidRPr="00FE4028" w:rsidRDefault="00F4031D">
      <w:pPr>
        <w:spacing w:line="560" w:lineRule="exact"/>
        <w:ind w:firstLineChars="200" w:firstLine="640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（</w:t>
      </w:r>
      <w:r w:rsidR="00411A0E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三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）</w:t>
      </w:r>
      <w:r w:rsidR="0095627F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落实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经费保障。</w:t>
      </w:r>
    </w:p>
    <w:p w14:paraId="5E692986" w14:textId="77777777" w:rsidR="007E7E15" w:rsidRPr="00FE4028" w:rsidRDefault="00F4031D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自治区继续每年从教育专项资金中安排</w:t>
      </w:r>
      <w:r w:rsidR="001744A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一</w:t>
      </w:r>
      <w:r w:rsidR="001744A8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定经费支持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学前教育集团化发展，依据集团化</w:t>
      </w:r>
      <w:r w:rsidR="001744A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办</w:t>
      </w:r>
      <w:r w:rsidR="001744A8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园发展情况</w:t>
      </w:r>
      <w:r w:rsidR="001744A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对各</w:t>
      </w:r>
      <w:r w:rsidR="001744A8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地</w:t>
      </w:r>
      <w:proofErr w:type="gramStart"/>
      <w:r w:rsidR="001744A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给予</w:t>
      </w:r>
      <w:r w:rsidR="001744A8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奖</w:t>
      </w:r>
      <w:r w:rsidR="001744A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补</w:t>
      </w:r>
      <w:r w:rsidR="001744A8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支持</w:t>
      </w:r>
      <w:proofErr w:type="gramEnd"/>
      <w:r w:rsidR="00061143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。各市、县（市、区）也要相应安排</w:t>
      </w:r>
      <w:r w:rsidR="001744A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经</w:t>
      </w:r>
      <w:r w:rsidR="001744A8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费支持</w:t>
      </w:r>
      <w:r w:rsidR="00061143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学前教育集团化发展。</w:t>
      </w:r>
      <w:r w:rsidR="001744A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学前教育集团化办园</w:t>
      </w:r>
      <w:r w:rsidR="001744A8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补助经费</w:t>
      </w:r>
      <w:r w:rsidR="001744A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由各</w:t>
      </w:r>
      <w:r w:rsidR="001744A8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地统筹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用于集团化的运作管理、教育科研、文化重构和特色打造</w:t>
      </w:r>
      <w:r w:rsidR="0014485D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；用于</w:t>
      </w:r>
      <w:proofErr w:type="gramStart"/>
      <w:r w:rsidR="00061143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龙头园园长</w:t>
      </w:r>
      <w:proofErr w:type="gramEnd"/>
      <w:r w:rsidR="00A2434D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和骨干教</w:t>
      </w:r>
      <w:r w:rsidR="00A2434D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师指导集团内幼儿园</w:t>
      </w:r>
      <w:r w:rsidR="00A2434D" w:rsidRPr="00DF7E5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</w:t>
      </w:r>
      <w:r w:rsidR="00A2434D" w:rsidRPr="00DF7E5B">
        <w:rPr>
          <w:rFonts w:ascii="仿宋" w:eastAsia="仿宋" w:hAnsi="仿宋" w:cs="仿宋_GB2312"/>
          <w:color w:val="000000" w:themeColor="text1"/>
          <w:sz w:val="32"/>
          <w:szCs w:val="32"/>
        </w:rPr>
        <w:t>差旅费用</w:t>
      </w:r>
      <w:r w:rsidR="007B0FE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等</w:t>
      </w:r>
      <w:r w:rsidR="0014485D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；</w:t>
      </w:r>
      <w:r w:rsidR="0014485D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用于</w:t>
      </w:r>
      <w:r w:rsidR="0014485D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开展</w:t>
      </w:r>
      <w:r w:rsidR="00A56239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教师</w:t>
      </w:r>
      <w:r w:rsidR="0014485D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研修、培训活动、交流活动</w:t>
      </w:r>
      <w:r w:rsidR="00A56239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等</w:t>
      </w:r>
      <w:r w:rsidR="00C02CC3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036AF431" w14:textId="77777777" w:rsidR="00411A0E" w:rsidRPr="00FE4028" w:rsidRDefault="009217DC" w:rsidP="00FE4028">
      <w:pPr>
        <w:pStyle w:val="aa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四</w:t>
      </w: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）</w:t>
      </w:r>
      <w:r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健全评价机制。</w:t>
      </w:r>
    </w:p>
    <w:p w14:paraId="3926AE9A" w14:textId="77777777" w:rsidR="000167B2" w:rsidRPr="00FE4028" w:rsidRDefault="006F5083" w:rsidP="00FE4028">
      <w:pPr>
        <w:pStyle w:val="aa"/>
        <w:spacing w:before="0" w:beforeAutospacing="0" w:after="0" w:afterAutospacing="0" w:line="560" w:lineRule="exact"/>
        <w:ind w:firstLineChars="100" w:firstLine="32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 xml:space="preserve">  </w:t>
      </w:r>
      <w:r w:rsidR="00411A0E" w:rsidRPr="00FE4028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各市</w:t>
      </w:r>
      <w:r w:rsidR="00411A0E" w:rsidRPr="00FE4028"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  <w:t>、</w:t>
      </w:r>
      <w:r w:rsidR="00411A0E" w:rsidRPr="00FE4028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县（市</w:t>
      </w:r>
      <w:r w:rsidR="00411A0E" w:rsidRPr="00FE4028"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  <w:t>、区</w:t>
      </w:r>
      <w:r w:rsidR="00411A0E" w:rsidRPr="00FE4028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）教育</w:t>
      </w:r>
      <w:r w:rsidR="00411A0E" w:rsidRPr="00FE4028"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  <w:t>行政部门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要建立集团化办园</w:t>
      </w:r>
      <w:r w:rsidR="00411A0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改革</w:t>
      </w:r>
      <w:r w:rsidR="00411A0E" w:rsidRPr="00FE4028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考核评价制度，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制订从成员幼儿园到龙头幼儿园权责对等的考核评估体系，每年定期对集团化办园改革情况进行考核评估。</w:t>
      </w:r>
      <w:r w:rsidR="00F6222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考核评估应</w:t>
      </w:r>
      <w:r w:rsidR="00F622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注重</w:t>
      </w:r>
      <w:r w:rsidR="00F6222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发展性</w:t>
      </w:r>
      <w:r w:rsidR="00F622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="00F6222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过程性</w:t>
      </w:r>
      <w:r w:rsidR="00F622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="00F6222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差异性</w:t>
      </w:r>
      <w:r w:rsidR="00F622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和</w:t>
      </w:r>
      <w:r w:rsidR="00F62228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引领性</w:t>
      </w:r>
      <w:r w:rsidR="00F622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重点考察龙头</w:t>
      </w:r>
      <w:r w:rsidR="0033451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幼儿园向</w:t>
      </w:r>
      <w:proofErr w:type="gramStart"/>
      <w:r w:rsidR="0033451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成员园</w:t>
      </w:r>
      <w:proofErr w:type="gramEnd"/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的资源输出及引</w:t>
      </w:r>
      <w:r w:rsidR="0085466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领、带动作用，成员幼儿园工作主动性、创造性和取得的发展</w:t>
      </w:r>
      <w:proofErr w:type="gramStart"/>
      <w:r w:rsidR="0085466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性成效</w:t>
      </w:r>
      <w:proofErr w:type="gramEnd"/>
      <w:r w:rsidR="0085466B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等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  <w:r w:rsidR="00411A0E" w:rsidRPr="00FE4028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指导集团制定内部考核评价制度，对集团内部幼</w:t>
      </w:r>
      <w:r w:rsidR="00411A0E" w:rsidRPr="00FE4028"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  <w:t>儿园</w:t>
      </w:r>
      <w:r w:rsidR="00411A0E" w:rsidRPr="00FE4028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进行考核评价，调动</w:t>
      </w:r>
      <w:proofErr w:type="gramStart"/>
      <w:r w:rsidR="00411A0E" w:rsidRPr="00FE4028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成员</w:t>
      </w:r>
      <w:r w:rsidR="00334515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园</w:t>
      </w:r>
      <w:r w:rsidR="00411A0E" w:rsidRPr="00FE4028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参与</w:t>
      </w:r>
      <w:proofErr w:type="gramEnd"/>
      <w:r w:rsidR="00411A0E" w:rsidRPr="00FE4028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集团化办学的积极性。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建立集团化办学模式视导诊断制度，每年定期邀请专家开展办学诊断，推动教育集团发展</w:t>
      </w:r>
      <w:r w:rsidR="00F622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努力办好</w:t>
      </w:r>
      <w:r w:rsidR="00F622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集团内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每一所幼儿</w:t>
      </w:r>
      <w:r w:rsidR="00411A0E" w:rsidRPr="00FE4028">
        <w:rPr>
          <w:rFonts w:ascii="仿宋" w:eastAsia="仿宋" w:hAnsi="仿宋" w:cs="仿宋_GB2312"/>
          <w:color w:val="000000" w:themeColor="text1"/>
          <w:sz w:val="32"/>
          <w:szCs w:val="32"/>
        </w:rPr>
        <w:t>园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，积极预防优质</w:t>
      </w:r>
      <w:r w:rsidR="00D618C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教育资源</w:t>
      </w:r>
      <w:r w:rsidR="00411A0E" w:rsidRPr="00FE402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“被稀释”现象。</w:t>
      </w:r>
      <w:r w:rsidR="00411A0E" w:rsidRPr="00FE4028"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  <w:t xml:space="preserve"> </w:t>
      </w:r>
    </w:p>
    <w:p w14:paraId="1C0529A2" w14:textId="77777777" w:rsidR="00F62731" w:rsidRPr="00FE4028" w:rsidRDefault="0003707E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11A0E"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FE4028">
        <w:rPr>
          <w:rFonts w:ascii="仿宋" w:eastAsia="仿宋" w:hAnsi="仿宋" w:hint="eastAsia"/>
          <w:color w:val="000000" w:themeColor="text1"/>
          <w:sz w:val="32"/>
          <w:szCs w:val="32"/>
        </w:rPr>
        <w:t>）健全激励机制。</w:t>
      </w:r>
    </w:p>
    <w:p w14:paraId="0D1ADD9B" w14:textId="77777777" w:rsidR="00C02CC3" w:rsidRPr="00FE4028" w:rsidRDefault="0003707E">
      <w:pPr>
        <w:spacing w:line="560" w:lineRule="exact"/>
        <w:ind w:firstLineChars="200" w:firstLine="640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城市</w:t>
      </w:r>
      <w:proofErr w:type="gramStart"/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教职工到</w:t>
      </w:r>
      <w:r w:rsidR="00C2439E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国家扶贫开发工作重点县所属幼儿园</w:t>
      </w:r>
      <w:r w:rsidR="00C2439E"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或</w:t>
      </w:r>
      <w:r w:rsidR="00C2439E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乡镇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以下幼儿园、县级</w:t>
      </w:r>
      <w:proofErr w:type="gramStart"/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龙头园</w:t>
      </w:r>
      <w:proofErr w:type="gramEnd"/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教职工到乡镇及以下幼儿园的指导经历，视同城镇教师到农村教育工作经历</w:t>
      </w:r>
      <w:r w:rsidR="00DB44EB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，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符合规定条件的，在工资、职务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(职称)晋升、计算基层工作经历、研究生考试等方面，按现有倾斜政策执行。每年经县级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（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含县级）以上</w:t>
      </w:r>
      <w:r w:rsidR="00C02CC3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教育局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对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学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前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教育集团办园模式改革工作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考核合格后，集团内成员单位达到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4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个的，集团</w:t>
      </w:r>
      <w:proofErr w:type="gramStart"/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龙头园园长</w:t>
      </w:r>
      <w:proofErr w:type="gramEnd"/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年度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绩效考核系数可放大至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1.2</w:t>
      </w:r>
      <w:r w:rsidR="00C02CC3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倍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，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lastRenderedPageBreak/>
        <w:t>集团内成员单位超过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4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个以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上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的，集团</w:t>
      </w:r>
      <w:proofErr w:type="gramStart"/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龙头园园长</w:t>
      </w:r>
      <w:proofErr w:type="gramEnd"/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年度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绩效考核系数可放大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1.5</w:t>
      </w:r>
      <w:r w:rsidR="00C02CC3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倍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。</w:t>
      </w:r>
    </w:p>
    <w:p w14:paraId="5AB44E29" w14:textId="77777777" w:rsidR="00411A0E" w:rsidRPr="00FE4028" w:rsidRDefault="00411A0E" w:rsidP="00FE4028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（</w:t>
      </w:r>
      <w:r w:rsidR="00DB44EB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六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）优化专业支撑机制。</w:t>
      </w:r>
    </w:p>
    <w:p w14:paraId="52276657" w14:textId="3E3449F0" w:rsidR="00411A0E" w:rsidRDefault="00411A0E" w:rsidP="00FE4028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各级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教育行政部门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重视和充分发挥专家团队和科研院所的专业支撑作用，委托开展关于集团化办学的系列专题研究，积累实践案例，提炼经验成果，提出改进建议。自治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区教育厅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委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托广西基础教育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研究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院组织专家深入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全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区各地学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前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教育集团进行调查研究，提供专业的支持与服务，指导教育集团开展教学行动研究，梳理、总结取得的经验和成果。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各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市、县教科研部门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要发挥自身优势，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加大对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学前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教育集团教科研</w:t>
      </w:r>
      <w:proofErr w:type="gramStart"/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训</w:t>
      </w:r>
      <w:proofErr w:type="gramEnd"/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活动的研究和指导，确保活动质量。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各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级</w:t>
      </w:r>
      <w:r w:rsidR="00334515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教师培训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部门要</w:t>
      </w:r>
      <w:r w:rsidR="00AB4902"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加</w:t>
      </w:r>
      <w:r w:rsidR="00AB4902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强对</w:t>
      </w:r>
      <w:r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学前</w:t>
      </w:r>
      <w:r w:rsidR="00D618CC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教育集团</w:t>
      </w:r>
      <w:r w:rsidR="00D618CC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园长、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教师</w:t>
      </w:r>
      <w:r w:rsidR="00AB4902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的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培训，</w:t>
      </w:r>
      <w:r w:rsidR="00DB44EB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不断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>提升</w:t>
      </w:r>
      <w:r w:rsidR="00DB44EB" w:rsidRPr="00FE4028"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其</w:t>
      </w:r>
      <w:r w:rsidRPr="00FE4028">
        <w:rPr>
          <w:rFonts w:ascii="仿宋" w:eastAsia="仿宋" w:hAnsi="仿宋" w:cs="仿宋_GB2312"/>
          <w:bCs/>
          <w:color w:val="000000" w:themeColor="text1"/>
          <w:sz w:val="32"/>
          <w:szCs w:val="32"/>
        </w:rPr>
        <w:t xml:space="preserve">能力和素养。 </w:t>
      </w:r>
    </w:p>
    <w:p w14:paraId="4C8E0394" w14:textId="77777777" w:rsidR="00207E61" w:rsidRPr="00207E61" w:rsidRDefault="00207E61" w:rsidP="004109B8">
      <w:pPr>
        <w:spacing w:line="560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</w:t>
      </w:r>
    </w:p>
    <w:p w14:paraId="7F2C14C9" w14:textId="77777777" w:rsidR="00207E61" w:rsidRDefault="00207E61" w:rsidP="00473046">
      <w:pPr>
        <w:widowControl/>
        <w:spacing w:line="560" w:lineRule="exact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</w:p>
    <w:p w14:paraId="592662EC" w14:textId="77777777" w:rsidR="006B2D45" w:rsidRDefault="006B2D45" w:rsidP="00473046">
      <w:pPr>
        <w:widowControl/>
        <w:spacing w:line="560" w:lineRule="exact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</w:p>
    <w:p w14:paraId="30ADD3F9" w14:textId="77777777" w:rsidR="006B2D45" w:rsidRDefault="006B2D45" w:rsidP="00473046">
      <w:pPr>
        <w:widowControl/>
        <w:spacing w:line="560" w:lineRule="exact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</w:p>
    <w:p w14:paraId="17A9C1F0" w14:textId="77777777" w:rsidR="006B2D45" w:rsidRDefault="006B2D45" w:rsidP="00473046">
      <w:pPr>
        <w:widowControl/>
        <w:spacing w:line="560" w:lineRule="exact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</w:p>
    <w:p w14:paraId="6681DCCA" w14:textId="77777777" w:rsidR="006B2D45" w:rsidRDefault="006B2D45" w:rsidP="00473046">
      <w:pPr>
        <w:widowControl/>
        <w:spacing w:line="560" w:lineRule="exact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</w:p>
    <w:p w14:paraId="1F0031F6" w14:textId="77777777" w:rsidR="006B2D45" w:rsidRDefault="006B2D45" w:rsidP="00473046">
      <w:pPr>
        <w:widowControl/>
        <w:spacing w:line="560" w:lineRule="exact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</w:p>
    <w:p w14:paraId="65897884" w14:textId="77777777" w:rsidR="006B2D45" w:rsidRPr="00473046" w:rsidRDefault="006B2D45" w:rsidP="00473046">
      <w:pPr>
        <w:widowControl/>
        <w:spacing w:line="560" w:lineRule="exact"/>
        <w:rPr>
          <w:rFonts w:ascii="方正小标宋简体" w:eastAsia="方正小标宋简体" w:hAnsi="仿宋" w:cs="仿宋_GB2312"/>
          <w:bCs/>
          <w:color w:val="000000" w:themeColor="text1"/>
          <w:sz w:val="32"/>
          <w:szCs w:val="32"/>
        </w:rPr>
      </w:pPr>
      <w:r w:rsidRPr="00473046">
        <w:rPr>
          <w:rFonts w:ascii="方正小标宋简体" w:eastAsia="方正小标宋简体" w:hAnsi="仿宋" w:cs="仿宋_GB2312" w:hint="eastAsia"/>
          <w:bCs/>
          <w:color w:val="000000" w:themeColor="text1"/>
          <w:sz w:val="32"/>
          <w:szCs w:val="32"/>
        </w:rPr>
        <w:t>公</w:t>
      </w:r>
      <w:r w:rsidRPr="00473046">
        <w:rPr>
          <w:rFonts w:ascii="方正小标宋简体" w:eastAsia="方正小标宋简体" w:hAnsi="仿宋" w:cs="仿宋_GB2312"/>
          <w:bCs/>
          <w:color w:val="000000" w:themeColor="text1"/>
          <w:sz w:val="32"/>
          <w:szCs w:val="32"/>
        </w:rPr>
        <w:t>开方式</w:t>
      </w:r>
      <w:r w:rsidRPr="00473046">
        <w:rPr>
          <w:rFonts w:ascii="方正小标宋简体" w:eastAsia="方正小标宋简体" w:hAnsi="仿宋" w:cs="仿宋_GB2312" w:hint="eastAsia"/>
          <w:bCs/>
          <w:color w:val="000000" w:themeColor="text1"/>
          <w:sz w:val="32"/>
          <w:szCs w:val="32"/>
        </w:rPr>
        <w:t>：公</w:t>
      </w:r>
      <w:r w:rsidRPr="00473046">
        <w:rPr>
          <w:rFonts w:ascii="方正小标宋简体" w:eastAsia="方正小标宋简体" w:hAnsi="仿宋" w:cs="仿宋_GB2312"/>
          <w:bCs/>
          <w:color w:val="000000" w:themeColor="text1"/>
          <w:sz w:val="32"/>
          <w:szCs w:val="32"/>
        </w:rPr>
        <w:t>开</w:t>
      </w:r>
    </w:p>
    <w:p w14:paraId="65E14B19" w14:textId="77777777" w:rsidR="006B2D45" w:rsidRDefault="006B2D45" w:rsidP="00473046">
      <w:pPr>
        <w:widowControl/>
        <w:spacing w:line="560" w:lineRule="exact"/>
        <w:rPr>
          <w:rFonts w:ascii="仿宋" w:eastAsia="仿宋" w:hAnsi="仿宋" w:cs="仿宋_GB2312"/>
          <w:bCs/>
          <w:color w:val="000000" w:themeColor="text1"/>
          <w:sz w:val="32"/>
          <w:szCs w:val="32"/>
        </w:rPr>
      </w:pPr>
    </w:p>
    <w:p w14:paraId="0F0AF48C" w14:textId="77777777" w:rsidR="006B2D45" w:rsidRPr="00473046" w:rsidRDefault="006B2D45" w:rsidP="00473046">
      <w:pPr>
        <w:widowControl/>
        <w:pBdr>
          <w:top w:val="single" w:sz="6" w:space="1" w:color="auto"/>
          <w:bottom w:val="single" w:sz="6" w:space="1" w:color="auto"/>
        </w:pBdr>
        <w:spacing w:line="440" w:lineRule="exact"/>
        <w:rPr>
          <w:rFonts w:ascii="仿宋" w:eastAsia="仿宋" w:hAnsi="仿宋" w:cs="仿宋_GB2312"/>
          <w:bCs/>
          <w:color w:val="000000" w:themeColor="text1"/>
          <w:sz w:val="28"/>
          <w:szCs w:val="28"/>
        </w:rPr>
      </w:pPr>
      <w:r w:rsidRPr="00473046">
        <w:rPr>
          <w:rFonts w:ascii="仿宋" w:eastAsia="仿宋" w:hAnsi="仿宋" w:cs="仿宋_GB2312"/>
          <w:bCs/>
          <w:color w:val="000000" w:themeColor="text1"/>
          <w:sz w:val="28"/>
          <w:szCs w:val="28"/>
        </w:rPr>
        <w:t xml:space="preserve">  广西壮族自治区教育厅办公室 </w:t>
      </w:r>
      <w:r>
        <w:rPr>
          <w:rFonts w:ascii="仿宋" w:eastAsia="仿宋" w:hAnsi="仿宋" w:cs="仿宋_GB2312"/>
          <w:bCs/>
          <w:color w:val="000000" w:themeColor="text1"/>
          <w:sz w:val="28"/>
          <w:szCs w:val="28"/>
        </w:rPr>
        <w:t xml:space="preserve">            </w:t>
      </w:r>
      <w:r w:rsidRPr="00473046">
        <w:rPr>
          <w:rFonts w:ascii="仿宋" w:eastAsia="仿宋" w:hAnsi="仿宋" w:cs="仿宋_GB2312"/>
          <w:bCs/>
          <w:color w:val="000000" w:themeColor="text1"/>
          <w:sz w:val="28"/>
          <w:szCs w:val="28"/>
        </w:rPr>
        <w:t xml:space="preserve"> 2020年5月27日</w:t>
      </w:r>
      <w:r w:rsidRPr="00473046">
        <w:rPr>
          <w:rFonts w:ascii="仿宋" w:eastAsia="仿宋" w:hAnsi="仿宋" w:cs="仿宋_GB2312" w:hint="eastAsia"/>
          <w:bCs/>
          <w:color w:val="000000" w:themeColor="text1"/>
          <w:sz w:val="28"/>
          <w:szCs w:val="28"/>
        </w:rPr>
        <w:t>印发</w:t>
      </w:r>
    </w:p>
    <w:sectPr w:rsidR="006B2D45" w:rsidRPr="00473046" w:rsidSect="00FE4028">
      <w:footerReference w:type="even" r:id="rId8"/>
      <w:footerReference w:type="default" r:id="rId9"/>
      <w:footerReference w:type="first" r:id="rId10"/>
      <w:pgSz w:w="11906" w:h="16838" w:code="9"/>
      <w:pgMar w:top="2098" w:right="1474" w:bottom="1985" w:left="1588" w:header="851" w:footer="1559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9C078" w14:textId="77777777" w:rsidR="00290C5E" w:rsidRDefault="00290C5E" w:rsidP="00F10F12">
      <w:r>
        <w:separator/>
      </w:r>
    </w:p>
  </w:endnote>
  <w:endnote w:type="continuationSeparator" w:id="0">
    <w:p w14:paraId="2B036A69" w14:textId="77777777" w:rsidR="00290C5E" w:rsidRDefault="00290C5E" w:rsidP="00F1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000" w:usb1="080F0000" w:usb2="00000010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B7B07" w14:textId="77777777" w:rsidR="006B2D45" w:rsidRPr="00473046" w:rsidRDefault="006B2D45" w:rsidP="0080682D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c"/>
        <w:rFonts w:ascii="仿宋" w:eastAsia="仿宋" w:hAnsi="仿宋"/>
        <w:sz w:val="28"/>
        <w:szCs w:val="28"/>
      </w:rPr>
    </w:pPr>
    <w:r w:rsidRPr="00473046">
      <w:rPr>
        <w:rStyle w:val="ac"/>
        <w:rFonts w:ascii="仿宋" w:eastAsia="仿宋" w:hAnsi="仿宋" w:hint="eastAsia"/>
        <w:sz w:val="28"/>
        <w:szCs w:val="28"/>
      </w:rPr>
      <w:t>—</w:t>
    </w:r>
    <w:r w:rsidRPr="00473046">
      <w:rPr>
        <w:rStyle w:val="ac"/>
        <w:rFonts w:ascii="仿宋" w:eastAsia="仿宋" w:hAnsi="仿宋"/>
        <w:sz w:val="28"/>
        <w:szCs w:val="28"/>
      </w:rPr>
      <w:fldChar w:fldCharType="begin"/>
    </w:r>
    <w:r w:rsidRPr="00473046">
      <w:rPr>
        <w:rStyle w:val="ac"/>
        <w:rFonts w:ascii="仿宋" w:eastAsia="仿宋" w:hAnsi="仿宋"/>
        <w:sz w:val="28"/>
        <w:szCs w:val="28"/>
      </w:rPr>
      <w:instrText xml:space="preserve">PAGE  </w:instrText>
    </w:r>
    <w:r w:rsidRPr="00473046">
      <w:rPr>
        <w:rStyle w:val="ac"/>
        <w:rFonts w:ascii="仿宋" w:eastAsia="仿宋" w:hAnsi="仿宋"/>
        <w:sz w:val="28"/>
        <w:szCs w:val="28"/>
      </w:rPr>
      <w:fldChar w:fldCharType="separate"/>
    </w:r>
    <w:r w:rsidR="00E018AD">
      <w:rPr>
        <w:rStyle w:val="ac"/>
        <w:rFonts w:ascii="仿宋" w:eastAsia="仿宋" w:hAnsi="仿宋"/>
        <w:noProof/>
        <w:sz w:val="28"/>
        <w:szCs w:val="28"/>
      </w:rPr>
      <w:t>1</w:t>
    </w:r>
    <w:r w:rsidRPr="00473046">
      <w:rPr>
        <w:rStyle w:val="ac"/>
        <w:rFonts w:ascii="仿宋" w:eastAsia="仿宋" w:hAnsi="仿宋"/>
        <w:sz w:val="28"/>
        <w:szCs w:val="28"/>
      </w:rPr>
      <w:fldChar w:fldCharType="end"/>
    </w:r>
    <w:r w:rsidRPr="00473046">
      <w:rPr>
        <w:rStyle w:val="ac"/>
        <w:rFonts w:ascii="仿宋" w:eastAsia="仿宋" w:hAnsi="仿宋" w:hint="eastAsia"/>
        <w:sz w:val="28"/>
        <w:szCs w:val="28"/>
      </w:rPr>
      <w:t>—</w:t>
    </w:r>
  </w:p>
  <w:p w14:paraId="57DB83EC" w14:textId="77777777" w:rsidR="006B2D45" w:rsidRPr="00473046" w:rsidRDefault="006B2D45" w:rsidP="00FD22A0">
    <w:pPr>
      <w:pStyle w:val="a5"/>
      <w:ind w:right="360" w:firstLine="360"/>
      <w:rPr>
        <w:rFonts w:ascii="仿宋" w:eastAsia="仿宋" w:hAnsi="仿宋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DD04B" w14:textId="77777777" w:rsidR="00457792" w:rsidRPr="00FE4028" w:rsidRDefault="00457792" w:rsidP="00FE4028">
    <w:pPr>
      <w:pStyle w:val="a5"/>
      <w:adjustRightInd w:val="0"/>
      <w:ind w:rightChars="100" w:right="210"/>
      <w:rPr>
        <w:rFonts w:ascii="仿宋" w:eastAsia="仿宋" w:hAnsi="仿宋"/>
      </w:rPr>
    </w:pPr>
    <w:r w:rsidRPr="00FE4028">
      <w:rPr>
        <w:rStyle w:val="ac"/>
        <w:rFonts w:ascii="仿宋" w:eastAsia="仿宋" w:hAnsi="仿宋" w:hint="eastAsia"/>
        <w:sz w:val="28"/>
        <w:szCs w:val="28"/>
      </w:rPr>
      <w:t>—</w:t>
    </w:r>
    <w:r w:rsidRPr="00FE4028">
      <w:rPr>
        <w:rStyle w:val="ac"/>
        <w:rFonts w:ascii="仿宋" w:eastAsia="仿宋" w:hAnsi="仿宋"/>
        <w:sz w:val="28"/>
        <w:szCs w:val="28"/>
      </w:rPr>
      <w:fldChar w:fldCharType="begin"/>
    </w:r>
    <w:r w:rsidRPr="00FE4028">
      <w:rPr>
        <w:rStyle w:val="ac"/>
        <w:rFonts w:ascii="仿宋" w:eastAsia="仿宋" w:hAnsi="仿宋"/>
        <w:sz w:val="28"/>
        <w:szCs w:val="28"/>
      </w:rPr>
      <w:instrText xml:space="preserve">PAGE  </w:instrText>
    </w:r>
    <w:r w:rsidRPr="00FE4028">
      <w:rPr>
        <w:rStyle w:val="ac"/>
        <w:rFonts w:ascii="仿宋" w:eastAsia="仿宋" w:hAnsi="仿宋"/>
        <w:sz w:val="28"/>
        <w:szCs w:val="28"/>
      </w:rPr>
      <w:fldChar w:fldCharType="separate"/>
    </w:r>
    <w:r w:rsidR="00E018AD">
      <w:rPr>
        <w:rStyle w:val="ac"/>
        <w:rFonts w:ascii="仿宋" w:eastAsia="仿宋" w:hAnsi="仿宋"/>
        <w:noProof/>
        <w:sz w:val="28"/>
        <w:szCs w:val="28"/>
      </w:rPr>
      <w:t>14</w:t>
    </w:r>
    <w:r w:rsidRPr="00FE4028">
      <w:rPr>
        <w:rStyle w:val="ac"/>
        <w:rFonts w:ascii="仿宋" w:eastAsia="仿宋" w:hAnsi="仿宋"/>
        <w:sz w:val="28"/>
        <w:szCs w:val="28"/>
      </w:rPr>
      <w:fldChar w:fldCharType="end"/>
    </w:r>
    <w:r w:rsidRPr="00FE4028">
      <w:rPr>
        <w:rStyle w:val="ac"/>
        <w:rFonts w:ascii="仿宋" w:eastAsia="仿宋" w:hAnsi="仿宋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FACCE" w14:textId="77777777" w:rsidR="00C17896" w:rsidRPr="00FE4028" w:rsidRDefault="00457792" w:rsidP="00FE4028">
    <w:pPr>
      <w:pStyle w:val="a5"/>
      <w:adjustRightInd w:val="0"/>
      <w:ind w:rightChars="100" w:right="210" w:firstLine="560"/>
      <w:jc w:val="right"/>
      <w:rPr>
        <w:rFonts w:ascii="仿宋" w:eastAsia="仿宋" w:hAnsi="仿宋"/>
      </w:rPr>
    </w:pPr>
    <w:r w:rsidRPr="00FE4028">
      <w:rPr>
        <w:rStyle w:val="ac"/>
        <w:rFonts w:ascii="仿宋" w:eastAsia="仿宋" w:hAnsi="仿宋" w:hint="eastAsia"/>
        <w:sz w:val="28"/>
        <w:szCs w:val="28"/>
      </w:rPr>
      <w:t>—</w:t>
    </w:r>
    <w:r w:rsidRPr="00FE4028">
      <w:rPr>
        <w:rStyle w:val="ac"/>
        <w:rFonts w:ascii="仿宋" w:eastAsia="仿宋" w:hAnsi="仿宋"/>
        <w:sz w:val="28"/>
        <w:szCs w:val="28"/>
      </w:rPr>
      <w:fldChar w:fldCharType="begin"/>
    </w:r>
    <w:r w:rsidRPr="00FE4028">
      <w:rPr>
        <w:rStyle w:val="ac"/>
        <w:rFonts w:ascii="仿宋" w:eastAsia="仿宋" w:hAnsi="仿宋"/>
        <w:sz w:val="28"/>
        <w:szCs w:val="28"/>
      </w:rPr>
      <w:instrText xml:space="preserve">PAGE  </w:instrText>
    </w:r>
    <w:r w:rsidRPr="00FE4028">
      <w:rPr>
        <w:rStyle w:val="ac"/>
        <w:rFonts w:ascii="仿宋" w:eastAsia="仿宋" w:hAnsi="仿宋"/>
        <w:sz w:val="28"/>
        <w:szCs w:val="28"/>
      </w:rPr>
      <w:fldChar w:fldCharType="separate"/>
    </w:r>
    <w:r w:rsidR="00E018AD">
      <w:rPr>
        <w:rStyle w:val="ac"/>
        <w:rFonts w:ascii="仿宋" w:eastAsia="仿宋" w:hAnsi="仿宋"/>
        <w:noProof/>
        <w:sz w:val="28"/>
        <w:szCs w:val="28"/>
      </w:rPr>
      <w:t>13</w:t>
    </w:r>
    <w:r w:rsidRPr="00FE4028">
      <w:rPr>
        <w:rStyle w:val="ac"/>
        <w:rFonts w:ascii="仿宋" w:eastAsia="仿宋" w:hAnsi="仿宋"/>
        <w:sz w:val="28"/>
        <w:szCs w:val="28"/>
      </w:rPr>
      <w:fldChar w:fldCharType="end"/>
    </w:r>
    <w:r w:rsidRPr="00FE4028">
      <w:rPr>
        <w:rStyle w:val="ac"/>
        <w:rFonts w:ascii="仿宋" w:eastAsia="仿宋" w:hAnsi="仿宋"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1C4B8" w14:textId="77777777" w:rsidR="00457792" w:rsidRPr="00FE4028" w:rsidRDefault="00457792" w:rsidP="00FE4028">
    <w:pPr>
      <w:pStyle w:val="a5"/>
      <w:adjustRightInd w:val="0"/>
      <w:ind w:rightChars="100" w:right="210"/>
      <w:rPr>
        <w:rFonts w:ascii="仿宋" w:eastAsia="仿宋" w:hAnsi="仿宋"/>
      </w:rPr>
    </w:pPr>
    <w:r w:rsidRPr="00FE4028">
      <w:rPr>
        <w:rStyle w:val="ac"/>
        <w:rFonts w:ascii="仿宋" w:eastAsia="仿宋" w:hAnsi="仿宋" w:hint="eastAsia"/>
        <w:sz w:val="28"/>
        <w:szCs w:val="28"/>
      </w:rPr>
      <w:t>—</w:t>
    </w:r>
    <w:r w:rsidRPr="00FE4028">
      <w:rPr>
        <w:rStyle w:val="ac"/>
        <w:rFonts w:ascii="仿宋" w:eastAsia="仿宋" w:hAnsi="仿宋"/>
        <w:sz w:val="28"/>
        <w:szCs w:val="28"/>
      </w:rPr>
      <w:fldChar w:fldCharType="begin"/>
    </w:r>
    <w:r w:rsidRPr="00FE4028">
      <w:rPr>
        <w:rStyle w:val="ac"/>
        <w:rFonts w:ascii="仿宋" w:eastAsia="仿宋" w:hAnsi="仿宋"/>
        <w:sz w:val="28"/>
        <w:szCs w:val="28"/>
      </w:rPr>
      <w:instrText xml:space="preserve">PAGE  </w:instrText>
    </w:r>
    <w:r w:rsidRPr="00FE4028">
      <w:rPr>
        <w:rStyle w:val="ac"/>
        <w:rFonts w:ascii="仿宋" w:eastAsia="仿宋" w:hAnsi="仿宋"/>
        <w:sz w:val="28"/>
        <w:szCs w:val="28"/>
      </w:rPr>
      <w:fldChar w:fldCharType="separate"/>
    </w:r>
    <w:r w:rsidR="00E018AD">
      <w:rPr>
        <w:rStyle w:val="ac"/>
        <w:rFonts w:ascii="仿宋" w:eastAsia="仿宋" w:hAnsi="仿宋"/>
        <w:noProof/>
        <w:sz w:val="28"/>
        <w:szCs w:val="28"/>
      </w:rPr>
      <w:t>2</w:t>
    </w:r>
    <w:r w:rsidRPr="00FE4028">
      <w:rPr>
        <w:rStyle w:val="ac"/>
        <w:rFonts w:ascii="仿宋" w:eastAsia="仿宋" w:hAnsi="仿宋"/>
        <w:sz w:val="28"/>
        <w:szCs w:val="28"/>
      </w:rPr>
      <w:fldChar w:fldCharType="end"/>
    </w:r>
    <w:r w:rsidRPr="00FE4028">
      <w:rPr>
        <w:rStyle w:val="ac"/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780AB" w14:textId="77777777" w:rsidR="00290C5E" w:rsidRDefault="00290C5E" w:rsidP="00F10F12">
      <w:r>
        <w:separator/>
      </w:r>
    </w:p>
  </w:footnote>
  <w:footnote w:type="continuationSeparator" w:id="0">
    <w:p w14:paraId="77F700BF" w14:textId="77777777" w:rsidR="00290C5E" w:rsidRDefault="00290C5E" w:rsidP="00F1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B970E7"/>
    <w:multiLevelType w:val="singleLevel"/>
    <w:tmpl w:val="BBB970E7"/>
    <w:lvl w:ilvl="0">
      <w:start w:val="2"/>
      <w:numFmt w:val="decimalFullWidth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C4BB8051"/>
    <w:multiLevelType w:val="singleLevel"/>
    <w:tmpl w:val="C4BB8051"/>
    <w:lvl w:ilvl="0">
      <w:start w:val="3"/>
      <w:numFmt w:val="chineseCounting"/>
      <w:suff w:val="nothing"/>
      <w:lvlText w:val="%1、"/>
      <w:lvlJc w:val="left"/>
      <w:pPr>
        <w:ind w:left="850" w:firstLine="0"/>
      </w:pPr>
    </w:lvl>
  </w:abstractNum>
  <w:abstractNum w:abstractNumId="2" w15:restartNumberingAfterBreak="0">
    <w:nsid w:val="DC30CEE6"/>
    <w:multiLevelType w:val="singleLevel"/>
    <w:tmpl w:val="DC30CEE6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5B443245"/>
    <w:multiLevelType w:val="singleLevel"/>
    <w:tmpl w:val="5B443245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  <w:lvlOverride w:ilvl="0">
      <w:startOverride w:val="3"/>
    </w:lvlOverride>
  </w:num>
  <w:num w:numId="2">
    <w:abstractNumId w:val="2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A1"/>
    <w:rsid w:val="0000549A"/>
    <w:rsid w:val="00015A0F"/>
    <w:rsid w:val="000167B2"/>
    <w:rsid w:val="00027038"/>
    <w:rsid w:val="00030A07"/>
    <w:rsid w:val="0003707E"/>
    <w:rsid w:val="00041BF8"/>
    <w:rsid w:val="00061143"/>
    <w:rsid w:val="00065F72"/>
    <w:rsid w:val="00075C1C"/>
    <w:rsid w:val="00077D65"/>
    <w:rsid w:val="000B6263"/>
    <w:rsid w:val="000C29EA"/>
    <w:rsid w:val="000E15E4"/>
    <w:rsid w:val="000E3305"/>
    <w:rsid w:val="000F218A"/>
    <w:rsid w:val="00107FBC"/>
    <w:rsid w:val="0011084D"/>
    <w:rsid w:val="00112C98"/>
    <w:rsid w:val="0012650B"/>
    <w:rsid w:val="001428FA"/>
    <w:rsid w:val="0014485D"/>
    <w:rsid w:val="00154490"/>
    <w:rsid w:val="001744A8"/>
    <w:rsid w:val="0017552D"/>
    <w:rsid w:val="00191ABE"/>
    <w:rsid w:val="00192084"/>
    <w:rsid w:val="0019212B"/>
    <w:rsid w:val="001925A7"/>
    <w:rsid w:val="001A55C1"/>
    <w:rsid w:val="001C743E"/>
    <w:rsid w:val="001C7E13"/>
    <w:rsid w:val="001E0EBE"/>
    <w:rsid w:val="001F2B90"/>
    <w:rsid w:val="00207E61"/>
    <w:rsid w:val="00223C19"/>
    <w:rsid w:val="002253F8"/>
    <w:rsid w:val="00237D6D"/>
    <w:rsid w:val="0025307F"/>
    <w:rsid w:val="002555BC"/>
    <w:rsid w:val="0025761D"/>
    <w:rsid w:val="00257C5A"/>
    <w:rsid w:val="002632CC"/>
    <w:rsid w:val="00290C5E"/>
    <w:rsid w:val="002C7CD9"/>
    <w:rsid w:val="002D44EC"/>
    <w:rsid w:val="002F6133"/>
    <w:rsid w:val="003044A6"/>
    <w:rsid w:val="003203F7"/>
    <w:rsid w:val="00321DE0"/>
    <w:rsid w:val="00326810"/>
    <w:rsid w:val="0033400C"/>
    <w:rsid w:val="00334515"/>
    <w:rsid w:val="00336D1F"/>
    <w:rsid w:val="00346432"/>
    <w:rsid w:val="00350F6E"/>
    <w:rsid w:val="00362748"/>
    <w:rsid w:val="00371CAB"/>
    <w:rsid w:val="00380F7C"/>
    <w:rsid w:val="003867AC"/>
    <w:rsid w:val="003872A5"/>
    <w:rsid w:val="003D01D4"/>
    <w:rsid w:val="003D7AE0"/>
    <w:rsid w:val="003E3595"/>
    <w:rsid w:val="003E4125"/>
    <w:rsid w:val="004109B8"/>
    <w:rsid w:val="00411A0E"/>
    <w:rsid w:val="0041765A"/>
    <w:rsid w:val="00421C4E"/>
    <w:rsid w:val="00444FDB"/>
    <w:rsid w:val="00445598"/>
    <w:rsid w:val="00451008"/>
    <w:rsid w:val="004550AE"/>
    <w:rsid w:val="00457792"/>
    <w:rsid w:val="00473046"/>
    <w:rsid w:val="00483B01"/>
    <w:rsid w:val="004A6E4F"/>
    <w:rsid w:val="004B0D28"/>
    <w:rsid w:val="004C7276"/>
    <w:rsid w:val="004D1F8F"/>
    <w:rsid w:val="004E2299"/>
    <w:rsid w:val="004F27D1"/>
    <w:rsid w:val="005035BE"/>
    <w:rsid w:val="00503830"/>
    <w:rsid w:val="00507EAF"/>
    <w:rsid w:val="00514355"/>
    <w:rsid w:val="00522A06"/>
    <w:rsid w:val="00534AF4"/>
    <w:rsid w:val="005405CE"/>
    <w:rsid w:val="00551C54"/>
    <w:rsid w:val="00565FC3"/>
    <w:rsid w:val="00566740"/>
    <w:rsid w:val="00571D44"/>
    <w:rsid w:val="0058629D"/>
    <w:rsid w:val="00591F08"/>
    <w:rsid w:val="005934EB"/>
    <w:rsid w:val="005A0A73"/>
    <w:rsid w:val="005A7717"/>
    <w:rsid w:val="005B6D16"/>
    <w:rsid w:val="005C5251"/>
    <w:rsid w:val="005D559D"/>
    <w:rsid w:val="005D5EB0"/>
    <w:rsid w:val="005E2EAB"/>
    <w:rsid w:val="005E4011"/>
    <w:rsid w:val="005F0FC3"/>
    <w:rsid w:val="005F59AC"/>
    <w:rsid w:val="006179EB"/>
    <w:rsid w:val="006228A1"/>
    <w:rsid w:val="00650A0E"/>
    <w:rsid w:val="00671D83"/>
    <w:rsid w:val="00693E2F"/>
    <w:rsid w:val="006A1932"/>
    <w:rsid w:val="006B2D45"/>
    <w:rsid w:val="006C1203"/>
    <w:rsid w:val="006C42D7"/>
    <w:rsid w:val="006C48C8"/>
    <w:rsid w:val="006F5083"/>
    <w:rsid w:val="007131B0"/>
    <w:rsid w:val="00750347"/>
    <w:rsid w:val="00752496"/>
    <w:rsid w:val="00756D2D"/>
    <w:rsid w:val="0078020E"/>
    <w:rsid w:val="00786E25"/>
    <w:rsid w:val="00797987"/>
    <w:rsid w:val="007B0FE5"/>
    <w:rsid w:val="007C3DB5"/>
    <w:rsid w:val="007D3B99"/>
    <w:rsid w:val="007E05A9"/>
    <w:rsid w:val="007E3E90"/>
    <w:rsid w:val="007E7E15"/>
    <w:rsid w:val="007F05B5"/>
    <w:rsid w:val="007F1DD8"/>
    <w:rsid w:val="007F3FD8"/>
    <w:rsid w:val="007F61F5"/>
    <w:rsid w:val="00801D89"/>
    <w:rsid w:val="00816662"/>
    <w:rsid w:val="00823628"/>
    <w:rsid w:val="00825A9C"/>
    <w:rsid w:val="00833977"/>
    <w:rsid w:val="0084481A"/>
    <w:rsid w:val="008475AE"/>
    <w:rsid w:val="0085466B"/>
    <w:rsid w:val="00861B84"/>
    <w:rsid w:val="008767F8"/>
    <w:rsid w:val="00882444"/>
    <w:rsid w:val="0088395A"/>
    <w:rsid w:val="008854F7"/>
    <w:rsid w:val="008A5CD9"/>
    <w:rsid w:val="008A6329"/>
    <w:rsid w:val="008B2601"/>
    <w:rsid w:val="008C040B"/>
    <w:rsid w:val="008C755F"/>
    <w:rsid w:val="008D1E2D"/>
    <w:rsid w:val="008D2148"/>
    <w:rsid w:val="008F5F89"/>
    <w:rsid w:val="009034F6"/>
    <w:rsid w:val="009217DC"/>
    <w:rsid w:val="009405C7"/>
    <w:rsid w:val="00943267"/>
    <w:rsid w:val="009560A1"/>
    <w:rsid w:val="0095627F"/>
    <w:rsid w:val="00990CBB"/>
    <w:rsid w:val="009C01C4"/>
    <w:rsid w:val="009C1C29"/>
    <w:rsid w:val="009E37EF"/>
    <w:rsid w:val="009E39E7"/>
    <w:rsid w:val="009F1AF3"/>
    <w:rsid w:val="009F573F"/>
    <w:rsid w:val="009F603B"/>
    <w:rsid w:val="00A01BB3"/>
    <w:rsid w:val="00A03919"/>
    <w:rsid w:val="00A061DC"/>
    <w:rsid w:val="00A2434D"/>
    <w:rsid w:val="00A2569F"/>
    <w:rsid w:val="00A35D79"/>
    <w:rsid w:val="00A53AB9"/>
    <w:rsid w:val="00A56239"/>
    <w:rsid w:val="00A72380"/>
    <w:rsid w:val="00AA69A5"/>
    <w:rsid w:val="00AB3BB1"/>
    <w:rsid w:val="00AB4902"/>
    <w:rsid w:val="00AB7067"/>
    <w:rsid w:val="00AD59C7"/>
    <w:rsid w:val="00AD6BD1"/>
    <w:rsid w:val="00AD7661"/>
    <w:rsid w:val="00AD7A70"/>
    <w:rsid w:val="00B03004"/>
    <w:rsid w:val="00B04475"/>
    <w:rsid w:val="00B0707C"/>
    <w:rsid w:val="00B10C57"/>
    <w:rsid w:val="00B136CD"/>
    <w:rsid w:val="00B817C1"/>
    <w:rsid w:val="00B905D8"/>
    <w:rsid w:val="00BA4006"/>
    <w:rsid w:val="00BB29E5"/>
    <w:rsid w:val="00BC6B07"/>
    <w:rsid w:val="00BD4643"/>
    <w:rsid w:val="00BE66A1"/>
    <w:rsid w:val="00BF082C"/>
    <w:rsid w:val="00BF5BC3"/>
    <w:rsid w:val="00C02CC3"/>
    <w:rsid w:val="00C16622"/>
    <w:rsid w:val="00C17896"/>
    <w:rsid w:val="00C2439E"/>
    <w:rsid w:val="00C43FAE"/>
    <w:rsid w:val="00C45BA1"/>
    <w:rsid w:val="00C52E36"/>
    <w:rsid w:val="00C66300"/>
    <w:rsid w:val="00C66E51"/>
    <w:rsid w:val="00C825C5"/>
    <w:rsid w:val="00C90B34"/>
    <w:rsid w:val="00C97962"/>
    <w:rsid w:val="00CA34C6"/>
    <w:rsid w:val="00CA3BF4"/>
    <w:rsid w:val="00CC7B28"/>
    <w:rsid w:val="00CD37F2"/>
    <w:rsid w:val="00CE02A0"/>
    <w:rsid w:val="00CE6A9A"/>
    <w:rsid w:val="00CE7809"/>
    <w:rsid w:val="00D11158"/>
    <w:rsid w:val="00D1468D"/>
    <w:rsid w:val="00D2665F"/>
    <w:rsid w:val="00D274F5"/>
    <w:rsid w:val="00D30CD4"/>
    <w:rsid w:val="00D34446"/>
    <w:rsid w:val="00D50ACC"/>
    <w:rsid w:val="00D618CC"/>
    <w:rsid w:val="00D67A68"/>
    <w:rsid w:val="00D81BC4"/>
    <w:rsid w:val="00D96398"/>
    <w:rsid w:val="00DB0BD1"/>
    <w:rsid w:val="00DB44EB"/>
    <w:rsid w:val="00DD2F8F"/>
    <w:rsid w:val="00DD454B"/>
    <w:rsid w:val="00DE7FA2"/>
    <w:rsid w:val="00DF50A5"/>
    <w:rsid w:val="00DF7E5B"/>
    <w:rsid w:val="00E018AD"/>
    <w:rsid w:val="00E1552E"/>
    <w:rsid w:val="00E30409"/>
    <w:rsid w:val="00E42471"/>
    <w:rsid w:val="00E47E93"/>
    <w:rsid w:val="00EA0D1C"/>
    <w:rsid w:val="00EA24E9"/>
    <w:rsid w:val="00EA5DBB"/>
    <w:rsid w:val="00EB6314"/>
    <w:rsid w:val="00EB660F"/>
    <w:rsid w:val="00EC485C"/>
    <w:rsid w:val="00EC68F4"/>
    <w:rsid w:val="00EF5B12"/>
    <w:rsid w:val="00F07360"/>
    <w:rsid w:val="00F10F12"/>
    <w:rsid w:val="00F11C4C"/>
    <w:rsid w:val="00F22CF9"/>
    <w:rsid w:val="00F378C1"/>
    <w:rsid w:val="00F4027A"/>
    <w:rsid w:val="00F4031D"/>
    <w:rsid w:val="00F419B0"/>
    <w:rsid w:val="00F41B93"/>
    <w:rsid w:val="00F62228"/>
    <w:rsid w:val="00F62731"/>
    <w:rsid w:val="00F815D0"/>
    <w:rsid w:val="00F947EF"/>
    <w:rsid w:val="00F959C0"/>
    <w:rsid w:val="00FB3981"/>
    <w:rsid w:val="00FC5507"/>
    <w:rsid w:val="00FE230B"/>
    <w:rsid w:val="00FE4028"/>
    <w:rsid w:val="00FE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52307D"/>
  <w15:docId w15:val="{752B8BB1-1528-4493-B69E-61827597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6A1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99"/>
    <w:qFormat/>
    <w:rsid w:val="00BE66A1"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F10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F12"/>
    <w:rPr>
      <w:rFonts w:eastAsiaTheme="minorEastAsia"/>
      <w:sz w:val="18"/>
      <w:szCs w:val="18"/>
    </w:rPr>
  </w:style>
  <w:style w:type="paragraph" w:styleId="a5">
    <w:name w:val="footer"/>
    <w:basedOn w:val="a"/>
    <w:link w:val="a6"/>
    <w:unhideWhenUsed/>
    <w:rsid w:val="00F10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0F12"/>
    <w:rPr>
      <w:rFonts w:eastAsiaTheme="minorEastAsia"/>
      <w:sz w:val="18"/>
      <w:szCs w:val="18"/>
    </w:rPr>
  </w:style>
  <w:style w:type="character" w:styleId="a7">
    <w:name w:val="Strong"/>
    <w:basedOn w:val="a0"/>
    <w:uiPriority w:val="22"/>
    <w:qFormat/>
    <w:rsid w:val="00AD59C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A55C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55C1"/>
    <w:rPr>
      <w:rFonts w:eastAsiaTheme="minorEastAsia"/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253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5307F"/>
    <w:rPr>
      <w:color w:val="0563C1" w:themeColor="hyperlink"/>
      <w:u w:val="single"/>
    </w:rPr>
  </w:style>
  <w:style w:type="character" w:styleId="ac">
    <w:name w:val="page number"/>
    <w:basedOn w:val="a0"/>
    <w:rsid w:val="00457792"/>
  </w:style>
  <w:style w:type="paragraph" w:styleId="ad">
    <w:name w:val="Body Text"/>
    <w:basedOn w:val="a"/>
    <w:link w:val="ae"/>
    <w:rsid w:val="006B2D45"/>
    <w:pPr>
      <w:spacing w:line="640" w:lineRule="exact"/>
      <w:jc w:val="center"/>
    </w:pPr>
    <w:rPr>
      <w:rFonts w:ascii="Times New Roman" w:eastAsia="方正大标宋简体" w:hAnsi="Times New Roman" w:cs="Times New Roman"/>
      <w:spacing w:val="20"/>
      <w:sz w:val="76"/>
      <w:szCs w:val="24"/>
    </w:rPr>
  </w:style>
  <w:style w:type="character" w:customStyle="1" w:styleId="ae">
    <w:name w:val="正文文本 字符"/>
    <w:basedOn w:val="a0"/>
    <w:link w:val="ad"/>
    <w:rsid w:val="006B2D45"/>
    <w:rPr>
      <w:rFonts w:ascii="Times New Roman" w:eastAsia="方正大标宋简体" w:hAnsi="Times New Roman" w:cs="Times New Roman"/>
      <w:spacing w:val="20"/>
      <w:sz w:val="7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14</Pages>
  <Words>979</Words>
  <Characters>5586</Characters>
  <Application>Microsoft Office Word</Application>
  <DocSecurity>0</DocSecurity>
  <Lines>46</Lines>
  <Paragraphs>13</Paragraphs>
  <ScaleCrop>false</ScaleCrop>
  <Company>DELL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110</cp:revision>
  <cp:lastPrinted>2020-04-14T07:31:00Z</cp:lastPrinted>
  <dcterms:created xsi:type="dcterms:W3CDTF">2020-03-02T00:42:00Z</dcterms:created>
  <dcterms:modified xsi:type="dcterms:W3CDTF">2020-06-03T08:14:00Z</dcterms:modified>
</cp:coreProperties>
</file>