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DC2" w:rsidRPr="00625947" w:rsidRDefault="00B92DC2" w:rsidP="00B92DC2">
      <w:pPr>
        <w:spacing w:line="680" w:lineRule="exact"/>
        <w:jc w:val="center"/>
        <w:rPr>
          <w:rFonts w:ascii="方正小标宋简体" w:eastAsia="方正小标宋简体" w:hAnsi="仿宋"/>
          <w:sz w:val="44"/>
          <w:szCs w:val="44"/>
        </w:rPr>
      </w:pPr>
      <w:r w:rsidRPr="00625947">
        <w:rPr>
          <w:rFonts w:ascii="方正小标宋简体" w:eastAsia="方正小标宋简体" w:hAnsi="仿宋" w:cs="仿宋" w:hint="eastAsia"/>
          <w:bCs/>
          <w:kern w:val="0"/>
          <w:sz w:val="44"/>
          <w:szCs w:val="44"/>
        </w:rPr>
        <w:t>《</w:t>
      </w:r>
      <w:r w:rsidRPr="00625947">
        <w:rPr>
          <w:rFonts w:ascii="方正小标宋简体" w:eastAsia="方正小标宋简体" w:hAnsi="仿宋" w:hint="eastAsia"/>
          <w:sz w:val="44"/>
          <w:szCs w:val="44"/>
        </w:rPr>
        <w:t>广西壮族自治区扩招后高职教育教学管理工作实施细则</w:t>
      </w:r>
      <w:r w:rsidR="00561054" w:rsidRPr="00561054">
        <w:rPr>
          <w:rFonts w:ascii="方正小标宋简体" w:eastAsia="方正小标宋简体" w:hAnsi="仿宋" w:hint="eastAsia"/>
          <w:sz w:val="44"/>
          <w:szCs w:val="44"/>
        </w:rPr>
        <w:t>（试行）</w:t>
      </w:r>
      <w:r w:rsidRPr="00625947">
        <w:rPr>
          <w:rFonts w:ascii="方正小标宋简体" w:eastAsia="方正小标宋简体" w:hAnsi="仿宋" w:cs="仿宋" w:hint="eastAsia"/>
          <w:bCs/>
          <w:kern w:val="0"/>
          <w:sz w:val="44"/>
          <w:szCs w:val="44"/>
        </w:rPr>
        <w:t>》</w:t>
      </w:r>
      <w:r w:rsidRPr="00625947">
        <w:rPr>
          <w:rFonts w:ascii="方正小标宋简体" w:eastAsia="方正小标宋简体" w:hAnsi="仿宋" w:hint="eastAsia"/>
          <w:sz w:val="44"/>
          <w:szCs w:val="44"/>
        </w:rPr>
        <w:t>政策解读</w:t>
      </w:r>
    </w:p>
    <w:p w:rsidR="00B92DC2" w:rsidRPr="00625947" w:rsidRDefault="00B92DC2" w:rsidP="00B92DC2">
      <w:pPr>
        <w:spacing w:line="560" w:lineRule="exact"/>
        <w:jc w:val="center"/>
        <w:rPr>
          <w:rFonts w:ascii="仿宋" w:eastAsia="仿宋" w:hAnsi="仿宋"/>
          <w:szCs w:val="32"/>
        </w:rPr>
      </w:pPr>
    </w:p>
    <w:p w:rsidR="00B92DC2" w:rsidRPr="00625947" w:rsidRDefault="00B92DC2" w:rsidP="00B92DC2">
      <w:pPr>
        <w:adjustRightInd w:val="0"/>
        <w:snapToGrid w:val="0"/>
        <w:spacing w:line="560" w:lineRule="exact"/>
        <w:ind w:firstLineChars="200" w:firstLine="640"/>
        <w:rPr>
          <w:rFonts w:ascii="仿宋" w:eastAsia="仿宋" w:hAnsi="仿宋" w:cs="仿宋"/>
          <w:bCs/>
          <w:sz w:val="32"/>
          <w:szCs w:val="32"/>
        </w:rPr>
      </w:pPr>
      <w:r w:rsidRPr="00625947">
        <w:rPr>
          <w:rFonts w:ascii="仿宋" w:eastAsia="仿宋" w:hAnsi="仿宋" w:cs="仿宋" w:hint="eastAsia"/>
          <w:bCs/>
          <w:sz w:val="32"/>
          <w:szCs w:val="32"/>
        </w:rPr>
        <w:t>为贯彻落实好国家有关质量型高等职业教育扩招的部署，自治区教育厅制定了《广西壮族自治区扩招后高职教育教学管理工作实施细则》（以下简称《实施细则》），指导各有关高校落实人才培养主体责任，规范人才培养有关工作，确保人才培养质量。</w:t>
      </w:r>
    </w:p>
    <w:p w:rsidR="00B92DC2" w:rsidRPr="00625947" w:rsidRDefault="00B92DC2" w:rsidP="00B92DC2">
      <w:pPr>
        <w:pStyle w:val="a3"/>
        <w:numPr>
          <w:ilvl w:val="0"/>
          <w:numId w:val="1"/>
        </w:numPr>
        <w:adjustRightInd w:val="0"/>
        <w:snapToGrid w:val="0"/>
        <w:spacing w:beforeLines="50" w:before="156" w:afterLines="50" w:after="156" w:line="560" w:lineRule="exact"/>
        <w:ind w:left="0" w:firstLineChars="177" w:firstLine="566"/>
        <w:rPr>
          <w:rFonts w:ascii="黑体" w:eastAsia="黑体" w:hAnsi="黑体" w:cs="仿宋_GB2312"/>
          <w:bCs/>
          <w:kern w:val="0"/>
          <w:sz w:val="32"/>
          <w:szCs w:val="32"/>
        </w:rPr>
      </w:pPr>
      <w:r w:rsidRPr="00625947">
        <w:rPr>
          <w:rFonts w:ascii="黑体" w:eastAsia="黑体" w:hAnsi="黑体" w:cs="仿宋_GB2312" w:hint="eastAsia"/>
          <w:bCs/>
          <w:kern w:val="0"/>
          <w:sz w:val="32"/>
          <w:szCs w:val="32"/>
        </w:rPr>
        <w:t>我区扩招后高职教育教学管理工作如何推进？</w:t>
      </w:r>
    </w:p>
    <w:p w:rsidR="00B92DC2" w:rsidRPr="00625947" w:rsidRDefault="00B92DC2" w:rsidP="00B92DC2">
      <w:pPr>
        <w:adjustRightInd w:val="0"/>
        <w:snapToGrid w:val="0"/>
        <w:spacing w:line="560" w:lineRule="exact"/>
        <w:ind w:firstLineChars="200" w:firstLine="640"/>
        <w:rPr>
          <w:rFonts w:ascii="仿宋" w:eastAsia="仿宋" w:hAnsi="仿宋" w:cs="仿宋"/>
          <w:bCs/>
          <w:sz w:val="32"/>
          <w:szCs w:val="32"/>
        </w:rPr>
      </w:pPr>
      <w:r w:rsidRPr="00625947">
        <w:rPr>
          <w:rFonts w:ascii="仿宋" w:eastAsia="仿宋" w:hAnsi="仿宋" w:cs="仿宋" w:hint="eastAsia"/>
          <w:bCs/>
          <w:sz w:val="32"/>
          <w:szCs w:val="32"/>
        </w:rPr>
        <w:t>实施“省厅指导、学校主体、多元参与”的管理原则。</w:t>
      </w:r>
    </w:p>
    <w:p w:rsidR="00B92DC2" w:rsidRPr="00625947" w:rsidRDefault="00B92DC2" w:rsidP="00B92DC2">
      <w:pPr>
        <w:adjustRightInd w:val="0"/>
        <w:snapToGrid w:val="0"/>
        <w:spacing w:line="560" w:lineRule="exact"/>
        <w:ind w:firstLineChars="200" w:firstLine="640"/>
        <w:rPr>
          <w:rFonts w:ascii="仿宋" w:eastAsia="仿宋" w:hAnsi="仿宋" w:cs="仿宋"/>
          <w:bCs/>
          <w:sz w:val="32"/>
          <w:szCs w:val="32"/>
        </w:rPr>
      </w:pPr>
      <w:r w:rsidRPr="00625947">
        <w:rPr>
          <w:rFonts w:ascii="仿宋" w:eastAsia="仿宋" w:hAnsi="仿宋" w:cs="仿宋" w:hint="eastAsia"/>
          <w:bCs/>
          <w:sz w:val="32"/>
          <w:szCs w:val="32"/>
        </w:rPr>
        <w:t>自治区教育厅主要承担政策和制度制定、宏观指导、敦促落实等职责，统筹推进全区扩招后教育教学工作。</w:t>
      </w:r>
    </w:p>
    <w:p w:rsidR="00B92DC2" w:rsidRPr="00625947" w:rsidRDefault="00B92DC2" w:rsidP="00B92DC2">
      <w:pPr>
        <w:adjustRightInd w:val="0"/>
        <w:snapToGrid w:val="0"/>
        <w:spacing w:line="560" w:lineRule="exact"/>
        <w:ind w:firstLineChars="200" w:firstLine="640"/>
        <w:rPr>
          <w:rFonts w:ascii="仿宋" w:eastAsia="仿宋" w:hAnsi="仿宋" w:cs="仿宋"/>
          <w:bCs/>
          <w:sz w:val="32"/>
          <w:szCs w:val="32"/>
        </w:rPr>
      </w:pPr>
      <w:r w:rsidRPr="00625947">
        <w:rPr>
          <w:rFonts w:ascii="仿宋" w:eastAsia="仿宋" w:hAnsi="仿宋" w:cs="仿宋" w:hint="eastAsia"/>
          <w:bCs/>
          <w:sz w:val="32"/>
          <w:szCs w:val="32"/>
        </w:rPr>
        <w:t>各有关高等高校（含承担扩招任务的本科高校）要将扩招后高职教育教学管理作为学校“一把手”工程，学校党委切实履行主体责任、院（校）长是第一责任人，学校有关部门和二级院系按职责分工，承担相应的组织、实施和管理责任，组织开展具体工作。</w:t>
      </w:r>
    </w:p>
    <w:p w:rsidR="00B92DC2" w:rsidRPr="00625947" w:rsidRDefault="00B92DC2" w:rsidP="00B92DC2">
      <w:pPr>
        <w:adjustRightInd w:val="0"/>
        <w:snapToGrid w:val="0"/>
        <w:spacing w:line="560" w:lineRule="exact"/>
        <w:ind w:firstLineChars="200" w:firstLine="640"/>
        <w:rPr>
          <w:rFonts w:ascii="仿宋" w:eastAsia="仿宋" w:hAnsi="仿宋" w:cs="仿宋"/>
          <w:bCs/>
          <w:sz w:val="32"/>
          <w:szCs w:val="32"/>
        </w:rPr>
      </w:pPr>
      <w:r w:rsidRPr="00625947">
        <w:rPr>
          <w:rFonts w:ascii="仿宋" w:eastAsia="仿宋" w:hAnsi="仿宋" w:cs="仿宋" w:hint="eastAsia"/>
          <w:bCs/>
          <w:sz w:val="32"/>
          <w:szCs w:val="32"/>
        </w:rPr>
        <w:t>鼓励行业组织、企业、科研机构等社会团体依法依规参与高职人才培养及教学等相关工作。</w:t>
      </w:r>
    </w:p>
    <w:p w:rsidR="00B92DC2" w:rsidRPr="00625947" w:rsidRDefault="00B92DC2" w:rsidP="00B92DC2">
      <w:pPr>
        <w:pStyle w:val="a3"/>
        <w:numPr>
          <w:ilvl w:val="0"/>
          <w:numId w:val="1"/>
        </w:numPr>
        <w:adjustRightInd w:val="0"/>
        <w:snapToGrid w:val="0"/>
        <w:spacing w:beforeLines="50" w:before="156" w:afterLines="50" w:after="156" w:line="560" w:lineRule="exact"/>
        <w:ind w:left="0" w:firstLineChars="177" w:firstLine="566"/>
        <w:rPr>
          <w:rFonts w:ascii="黑体" w:eastAsia="黑体" w:hAnsi="黑体" w:cs="仿宋_GB2312"/>
          <w:bCs/>
          <w:kern w:val="0"/>
          <w:sz w:val="32"/>
          <w:szCs w:val="32"/>
        </w:rPr>
      </w:pPr>
      <w:r w:rsidRPr="00625947">
        <w:rPr>
          <w:rFonts w:ascii="黑体" w:eastAsia="黑体" w:hAnsi="黑体" w:cs="仿宋_GB2312" w:hint="eastAsia"/>
          <w:bCs/>
          <w:kern w:val="0"/>
          <w:sz w:val="32"/>
          <w:szCs w:val="32"/>
        </w:rPr>
        <w:t>为何要开展学情调研与分析？如何开展？</w:t>
      </w:r>
    </w:p>
    <w:p w:rsidR="00B92DC2" w:rsidRPr="00625947" w:rsidRDefault="00B92DC2" w:rsidP="00B92DC2">
      <w:pPr>
        <w:adjustRightInd w:val="0"/>
        <w:snapToGrid w:val="0"/>
        <w:spacing w:line="560" w:lineRule="exact"/>
        <w:ind w:firstLineChars="200" w:firstLine="640"/>
        <w:rPr>
          <w:rFonts w:ascii="仿宋" w:eastAsia="仿宋" w:hAnsi="仿宋" w:cs="仿宋"/>
          <w:bCs/>
          <w:sz w:val="32"/>
          <w:szCs w:val="32"/>
        </w:rPr>
      </w:pPr>
      <w:r w:rsidRPr="00625947">
        <w:rPr>
          <w:rFonts w:ascii="仿宋" w:eastAsia="仿宋" w:hAnsi="仿宋" w:cs="仿宋" w:hint="eastAsia"/>
          <w:bCs/>
          <w:sz w:val="32"/>
          <w:szCs w:val="32"/>
        </w:rPr>
        <w:t>扩招的生源群体有退役军人、下岗失业人员、农民工、高素质农民、新型职业农民、在岗职工及应往届毕业生等，其</w:t>
      </w:r>
      <w:r w:rsidRPr="009C1DAF">
        <w:rPr>
          <w:rFonts w:ascii="仿宋" w:eastAsia="仿宋" w:hAnsi="仿宋" w:cs="仿宋" w:hint="eastAsia"/>
          <w:sz w:val="32"/>
          <w:szCs w:val="32"/>
        </w:rPr>
        <w:t>成长背景、从业经历、学习基础、年龄阶段、认知特点、分布区域、工作地点等差异较大，发展愿景也不尽相同，原有的培养模式已难以适应。必须根据学生的不同认知特点和发展愿景等制定差异化的人才培养方案，为学生提供不同的成长成才途径。</w:t>
      </w:r>
    </w:p>
    <w:p w:rsidR="00B92DC2" w:rsidRPr="00625947" w:rsidRDefault="00B92DC2" w:rsidP="00B92DC2">
      <w:pPr>
        <w:adjustRightInd w:val="0"/>
        <w:snapToGrid w:val="0"/>
        <w:spacing w:line="560" w:lineRule="exact"/>
        <w:ind w:firstLineChars="200" w:firstLine="640"/>
        <w:rPr>
          <w:rFonts w:ascii="仿宋" w:eastAsia="仿宋" w:hAnsi="仿宋" w:cs="仿宋"/>
          <w:bCs/>
          <w:sz w:val="32"/>
          <w:szCs w:val="32"/>
        </w:rPr>
      </w:pPr>
      <w:r w:rsidRPr="00625947">
        <w:rPr>
          <w:rFonts w:ascii="仿宋" w:eastAsia="仿宋" w:hAnsi="仿宋" w:cs="仿宋" w:hint="eastAsia"/>
          <w:bCs/>
          <w:sz w:val="32"/>
          <w:szCs w:val="32"/>
        </w:rPr>
        <w:t>可充分利用“互联网</w:t>
      </w:r>
      <w:r w:rsidRPr="00625947">
        <w:rPr>
          <w:rFonts w:ascii="仿宋" w:eastAsia="仿宋" w:hAnsi="仿宋" w:cs="仿宋"/>
          <w:bCs/>
          <w:sz w:val="32"/>
          <w:szCs w:val="32"/>
        </w:rPr>
        <w:t>+”的优势，结合问卷调查、座谈、访谈等形式，对扩招生源群体开展</w:t>
      </w:r>
      <w:r w:rsidRPr="009C1DAF">
        <w:rPr>
          <w:rFonts w:ascii="仿宋" w:eastAsia="仿宋" w:hAnsi="仿宋" w:cs="仿宋" w:hint="eastAsia"/>
          <w:sz w:val="32"/>
          <w:szCs w:val="32"/>
        </w:rPr>
        <w:t>学习能力、学业水平、学习条件、技术技能基础、社会阅历、信息技术应用能力、学习目的和心理预期等方面的调研与</w:t>
      </w:r>
      <w:r w:rsidRPr="00625947">
        <w:rPr>
          <w:rFonts w:ascii="仿宋" w:eastAsia="仿宋" w:hAnsi="仿宋" w:cs="仿宋" w:hint="eastAsia"/>
          <w:bCs/>
          <w:sz w:val="32"/>
          <w:szCs w:val="32"/>
        </w:rPr>
        <w:t>分析工作。必要时</w:t>
      </w:r>
      <w:r w:rsidRPr="009C1DAF">
        <w:rPr>
          <w:rFonts w:ascii="仿宋" w:eastAsia="仿宋" w:hAnsi="仿宋" w:cs="仿宋" w:hint="eastAsia"/>
          <w:sz w:val="32"/>
          <w:szCs w:val="32"/>
        </w:rPr>
        <w:t>可开展有关专业测评（测试），也</w:t>
      </w:r>
      <w:r w:rsidRPr="00625947">
        <w:rPr>
          <w:rFonts w:ascii="仿宋" w:eastAsia="仿宋" w:hAnsi="仿宋" w:cs="仿宋" w:hint="eastAsia"/>
          <w:bCs/>
          <w:sz w:val="32"/>
          <w:szCs w:val="32"/>
        </w:rPr>
        <w:t>可委托第三方协助组织开展学情调研与分析工作。</w:t>
      </w:r>
    </w:p>
    <w:p w:rsidR="00B92DC2" w:rsidRPr="00625947" w:rsidRDefault="00B92DC2" w:rsidP="00B92DC2">
      <w:pPr>
        <w:adjustRightInd w:val="0"/>
        <w:snapToGrid w:val="0"/>
        <w:spacing w:line="560" w:lineRule="exact"/>
        <w:ind w:firstLineChars="200" w:firstLine="640"/>
        <w:rPr>
          <w:rFonts w:ascii="仿宋" w:eastAsia="仿宋" w:hAnsi="仿宋" w:cs="仿宋"/>
          <w:bCs/>
          <w:sz w:val="32"/>
          <w:szCs w:val="32"/>
        </w:rPr>
      </w:pPr>
      <w:r w:rsidRPr="009C1DAF">
        <w:rPr>
          <w:rFonts w:ascii="仿宋" w:eastAsia="仿宋" w:hAnsi="仿宋" w:cs="仿宋" w:hint="eastAsia"/>
          <w:sz w:val="32"/>
          <w:szCs w:val="32"/>
        </w:rPr>
        <w:t>要认真总结和分析学情调研的结果，形成详细的学情调研与分析报告，提出切合实际的人才培养意见或建议。</w:t>
      </w:r>
    </w:p>
    <w:p w:rsidR="00B92DC2" w:rsidRPr="00625947" w:rsidRDefault="00B92DC2" w:rsidP="00B92DC2">
      <w:pPr>
        <w:pStyle w:val="a3"/>
        <w:numPr>
          <w:ilvl w:val="0"/>
          <w:numId w:val="1"/>
        </w:numPr>
        <w:adjustRightInd w:val="0"/>
        <w:snapToGrid w:val="0"/>
        <w:spacing w:beforeLines="50" w:before="156" w:afterLines="50" w:after="156" w:line="560" w:lineRule="exact"/>
        <w:ind w:left="0" w:firstLineChars="177" w:firstLine="566"/>
        <w:rPr>
          <w:rFonts w:ascii="黑体" w:eastAsia="黑体" w:hAnsi="黑体" w:cs="仿宋_GB2312"/>
          <w:bCs/>
          <w:kern w:val="0"/>
          <w:sz w:val="32"/>
          <w:szCs w:val="32"/>
        </w:rPr>
      </w:pPr>
      <w:r w:rsidRPr="00625947">
        <w:rPr>
          <w:rFonts w:ascii="黑体" w:eastAsia="黑体" w:hAnsi="黑体" w:cs="仿宋_GB2312" w:hint="eastAsia"/>
          <w:bCs/>
          <w:kern w:val="0"/>
          <w:sz w:val="32"/>
          <w:szCs w:val="32"/>
        </w:rPr>
        <w:t>针对扩招生源群体如何制定（修订）人才培养方案？</w:t>
      </w:r>
    </w:p>
    <w:p w:rsidR="00B92DC2" w:rsidRPr="00625947" w:rsidRDefault="00B92DC2" w:rsidP="00B92DC2">
      <w:pPr>
        <w:adjustRightInd w:val="0"/>
        <w:snapToGrid w:val="0"/>
        <w:spacing w:line="560" w:lineRule="exact"/>
        <w:ind w:firstLineChars="200" w:firstLine="640"/>
        <w:rPr>
          <w:rFonts w:ascii="仿宋" w:eastAsia="仿宋" w:hAnsi="仿宋" w:cs="仿宋"/>
          <w:bCs/>
          <w:sz w:val="32"/>
          <w:szCs w:val="32"/>
        </w:rPr>
      </w:pPr>
      <w:r w:rsidRPr="00625947">
        <w:rPr>
          <w:rFonts w:ascii="仿宋" w:eastAsia="仿宋" w:hAnsi="仿宋" w:cs="仿宋" w:hint="eastAsia"/>
          <w:bCs/>
          <w:sz w:val="32"/>
          <w:szCs w:val="32"/>
        </w:rPr>
        <w:t>根据“标准不降、模式多元、学制灵活”的要求，在毕业标准等不降低的前提下，科学合理确定课程设置、教学内容、学时安排、教学进程、考核模式和毕业要求等，统筹配置师资队伍、教学设施设备和其他教学资源。</w:t>
      </w:r>
    </w:p>
    <w:p w:rsidR="00B92DC2" w:rsidRPr="009C1DAF" w:rsidRDefault="00B92DC2" w:rsidP="00B92DC2">
      <w:pPr>
        <w:pStyle w:val="a3"/>
        <w:spacing w:line="560" w:lineRule="exact"/>
        <w:ind w:firstLine="640"/>
        <w:rPr>
          <w:rFonts w:ascii="仿宋" w:eastAsia="仿宋" w:hAnsi="仿宋" w:cs="仿宋"/>
          <w:sz w:val="32"/>
          <w:szCs w:val="32"/>
        </w:rPr>
      </w:pPr>
      <w:r w:rsidRPr="009C1DAF">
        <w:rPr>
          <w:rFonts w:ascii="仿宋" w:eastAsia="仿宋" w:hAnsi="仿宋" w:cs="仿宋" w:hint="eastAsia"/>
          <w:sz w:val="32"/>
          <w:szCs w:val="32"/>
        </w:rPr>
        <w:t>可适当调整实践课程比例，最高不超过总课时数量的</w:t>
      </w:r>
      <w:r w:rsidRPr="009C1DAF">
        <w:rPr>
          <w:rFonts w:ascii="仿宋" w:eastAsia="仿宋" w:hAnsi="仿宋" w:cs="仿宋"/>
          <w:sz w:val="32"/>
          <w:szCs w:val="32"/>
        </w:rPr>
        <w:t>60%；结合“1+X”证书制度，将证书培训内容有机融入教学内容，并对教学内容进行优化，适当调整教学方式；在确保总学时不低于2500的前提下，集中教学学时不得低于总学时的40%，即1000</w:t>
      </w:r>
      <w:r w:rsidRPr="009C1DAF">
        <w:rPr>
          <w:rFonts w:ascii="仿宋" w:eastAsia="仿宋" w:hAnsi="仿宋" w:cs="仿宋" w:hint="eastAsia"/>
          <w:sz w:val="32"/>
          <w:szCs w:val="32"/>
        </w:rPr>
        <w:t>学时。可实施弹性教学（学习）时间，但最长不超过</w:t>
      </w:r>
      <w:r w:rsidRPr="009C1DAF">
        <w:rPr>
          <w:rFonts w:ascii="仿宋" w:eastAsia="仿宋" w:hAnsi="仿宋" w:cs="仿宋"/>
          <w:sz w:val="32"/>
          <w:szCs w:val="32"/>
        </w:rPr>
        <w:t>6年。全面实行学分制。</w:t>
      </w:r>
      <w:r w:rsidRPr="00625947">
        <w:rPr>
          <w:rFonts w:ascii="仿宋" w:eastAsia="仿宋" w:hAnsi="仿宋" w:cs="宋体" w:hint="eastAsia"/>
          <w:kern w:val="0"/>
          <w:sz w:val="32"/>
          <w:szCs w:val="32"/>
        </w:rPr>
        <w:t>一般以</w:t>
      </w:r>
      <w:r w:rsidRPr="00625947">
        <w:rPr>
          <w:rFonts w:ascii="仿宋" w:eastAsia="仿宋" w:hAnsi="仿宋" w:cs="宋体"/>
          <w:kern w:val="0"/>
          <w:sz w:val="32"/>
          <w:szCs w:val="32"/>
        </w:rPr>
        <w:t>16—18学时计为1个学分，每个专业约为139</w:t>
      </w:r>
      <w:r w:rsidRPr="00625947">
        <w:rPr>
          <w:rFonts w:ascii="仿宋" w:eastAsia="仿宋" w:hAnsi="仿宋" w:cs="宋体" w:hint="eastAsia"/>
          <w:kern w:val="0"/>
          <w:sz w:val="32"/>
          <w:szCs w:val="32"/>
        </w:rPr>
        <w:t>—</w:t>
      </w:r>
      <w:r w:rsidRPr="00625947">
        <w:rPr>
          <w:rFonts w:ascii="仿宋" w:eastAsia="仿宋" w:hAnsi="仿宋" w:cs="宋体"/>
          <w:kern w:val="0"/>
          <w:sz w:val="32"/>
          <w:szCs w:val="32"/>
        </w:rPr>
        <w:t>156</w:t>
      </w:r>
      <w:r w:rsidRPr="00625947">
        <w:rPr>
          <w:rFonts w:ascii="仿宋" w:eastAsia="仿宋" w:hAnsi="仿宋" w:cs="宋体" w:hint="eastAsia"/>
          <w:kern w:val="0"/>
          <w:sz w:val="32"/>
          <w:szCs w:val="32"/>
        </w:rPr>
        <w:t>个学分。</w:t>
      </w:r>
      <w:r w:rsidRPr="009C1DAF">
        <w:rPr>
          <w:rFonts w:ascii="仿宋" w:eastAsia="仿宋" w:hAnsi="仿宋" w:cs="仿宋" w:hint="eastAsia"/>
          <w:sz w:val="32"/>
          <w:szCs w:val="32"/>
        </w:rPr>
        <w:t>合理</w:t>
      </w:r>
      <w:r w:rsidRPr="009C1DAF">
        <w:rPr>
          <w:rFonts w:ascii="仿宋" w:eastAsia="仿宋" w:hAnsi="仿宋" w:cs="仿宋"/>
          <w:sz w:val="32"/>
          <w:szCs w:val="32"/>
        </w:rPr>
        <w:t>运用</w:t>
      </w:r>
      <w:r w:rsidRPr="009C1DAF">
        <w:rPr>
          <w:rFonts w:ascii="仿宋" w:eastAsia="仿宋" w:hAnsi="仿宋" w:cs="仿宋" w:hint="eastAsia"/>
          <w:sz w:val="32"/>
          <w:szCs w:val="32"/>
        </w:rPr>
        <w:t>专业理论</w:t>
      </w:r>
      <w:r w:rsidRPr="009C1DAF">
        <w:rPr>
          <w:rFonts w:ascii="仿宋" w:eastAsia="仿宋" w:hAnsi="仿宋" w:cs="仿宋"/>
          <w:sz w:val="32"/>
          <w:szCs w:val="32"/>
        </w:rPr>
        <w:t>考试、</w:t>
      </w:r>
      <w:r w:rsidRPr="009C1DAF">
        <w:rPr>
          <w:rFonts w:ascii="仿宋" w:eastAsia="仿宋" w:hAnsi="仿宋" w:cs="仿宋" w:hint="eastAsia"/>
          <w:sz w:val="32"/>
          <w:szCs w:val="32"/>
        </w:rPr>
        <w:t>技术</w:t>
      </w:r>
      <w:r w:rsidRPr="009C1DAF">
        <w:rPr>
          <w:rFonts w:ascii="仿宋" w:eastAsia="仿宋" w:hAnsi="仿宋" w:cs="仿宋"/>
          <w:sz w:val="32"/>
          <w:szCs w:val="32"/>
        </w:rPr>
        <w:t>技能</w:t>
      </w:r>
      <w:r w:rsidRPr="009C1DAF">
        <w:rPr>
          <w:rFonts w:ascii="仿宋" w:eastAsia="仿宋" w:hAnsi="仿宋" w:cs="仿宋" w:hint="eastAsia"/>
          <w:sz w:val="32"/>
          <w:szCs w:val="32"/>
        </w:rPr>
        <w:t>测试、</w:t>
      </w:r>
      <w:r w:rsidRPr="009C1DAF">
        <w:rPr>
          <w:rFonts w:ascii="仿宋" w:eastAsia="仿宋" w:hAnsi="仿宋" w:cs="仿宋"/>
          <w:sz w:val="32"/>
          <w:szCs w:val="32"/>
        </w:rPr>
        <w:t>综合评价等多种方式，分类对学生的学习成果进行考核评价</w:t>
      </w:r>
      <w:r w:rsidRPr="009C1DAF">
        <w:rPr>
          <w:rFonts w:ascii="仿宋" w:eastAsia="仿宋" w:hAnsi="仿宋" w:cs="仿宋" w:hint="eastAsia"/>
          <w:sz w:val="32"/>
          <w:szCs w:val="32"/>
        </w:rPr>
        <w:t>。在“德、智、体、美、劳”等方面明确学生的毕业标准，确保学生毕业时完成规定的学时、学分和教学环节。</w:t>
      </w:r>
    </w:p>
    <w:p w:rsidR="00B92DC2" w:rsidRPr="00625947" w:rsidRDefault="00B92DC2" w:rsidP="00B92DC2">
      <w:pPr>
        <w:pStyle w:val="a3"/>
        <w:numPr>
          <w:ilvl w:val="0"/>
          <w:numId w:val="1"/>
        </w:numPr>
        <w:adjustRightInd w:val="0"/>
        <w:snapToGrid w:val="0"/>
        <w:spacing w:beforeLines="50" w:before="156" w:afterLines="50" w:after="156" w:line="560" w:lineRule="exact"/>
        <w:ind w:left="0" w:firstLineChars="177" w:firstLine="566"/>
        <w:rPr>
          <w:rFonts w:ascii="黑体" w:eastAsia="黑体" w:hAnsi="黑体" w:cs="仿宋_GB2312"/>
          <w:bCs/>
          <w:kern w:val="0"/>
          <w:sz w:val="32"/>
          <w:szCs w:val="32"/>
        </w:rPr>
      </w:pPr>
      <w:r w:rsidRPr="00625947">
        <w:rPr>
          <w:rFonts w:ascii="黑体" w:eastAsia="黑体" w:hAnsi="黑体" w:cs="仿宋_GB2312" w:hint="eastAsia"/>
          <w:bCs/>
          <w:kern w:val="0"/>
          <w:sz w:val="32"/>
          <w:szCs w:val="32"/>
        </w:rPr>
        <w:t>如何加强教学和学生管理？</w:t>
      </w:r>
    </w:p>
    <w:p w:rsidR="00B92DC2" w:rsidRPr="00625947" w:rsidRDefault="00B92DC2" w:rsidP="00B92DC2">
      <w:pPr>
        <w:adjustRightInd w:val="0"/>
        <w:snapToGrid w:val="0"/>
        <w:spacing w:line="560" w:lineRule="exact"/>
        <w:ind w:firstLineChars="200" w:firstLine="640"/>
        <w:rPr>
          <w:rFonts w:ascii="仿宋" w:eastAsia="仿宋" w:hAnsi="仿宋" w:cs="仿宋"/>
          <w:bCs/>
          <w:sz w:val="32"/>
          <w:szCs w:val="32"/>
        </w:rPr>
      </w:pPr>
      <w:r w:rsidRPr="00625947">
        <w:rPr>
          <w:rFonts w:ascii="仿宋" w:eastAsia="仿宋" w:hAnsi="仿宋" w:cs="仿宋" w:hint="eastAsia"/>
          <w:bCs/>
          <w:sz w:val="32"/>
          <w:szCs w:val="32"/>
        </w:rPr>
        <w:t>根据非全日制人才培养新模式的需要，在专业人才培养方案制定（修订）、教学资源建设与管理、教学组织与实施、教学过程督导与监控、教师授课管理、学生及其学习（含实习）管理、学业质量评价等方面配套制定（修订）相关管理制度，充分发挥“互联网</w:t>
      </w:r>
      <w:r w:rsidRPr="00625947">
        <w:rPr>
          <w:rFonts w:ascii="仿宋" w:eastAsia="仿宋" w:hAnsi="仿宋" w:cs="仿宋"/>
          <w:bCs/>
          <w:sz w:val="32"/>
          <w:szCs w:val="32"/>
        </w:rPr>
        <w:t>+”的优势，有效利用信息技术不断创新教学组织和管理模式，服务好人才培养工作。</w:t>
      </w:r>
    </w:p>
    <w:p w:rsidR="00B92DC2" w:rsidRPr="00625947" w:rsidRDefault="00B92DC2" w:rsidP="00B92DC2">
      <w:pPr>
        <w:adjustRightInd w:val="0"/>
        <w:snapToGrid w:val="0"/>
        <w:spacing w:line="560" w:lineRule="exact"/>
        <w:ind w:firstLineChars="200" w:firstLine="640"/>
        <w:rPr>
          <w:rFonts w:ascii="仿宋" w:eastAsia="仿宋" w:hAnsi="仿宋" w:cs="仿宋"/>
          <w:bCs/>
          <w:sz w:val="32"/>
          <w:szCs w:val="32"/>
        </w:rPr>
      </w:pPr>
      <w:r w:rsidRPr="009C1DAF">
        <w:rPr>
          <w:rFonts w:ascii="仿宋" w:eastAsia="仿宋" w:hAnsi="仿宋" w:cs="仿宋" w:hint="eastAsia"/>
          <w:sz w:val="32"/>
          <w:szCs w:val="32"/>
        </w:rPr>
        <w:t>加强对授课教师的管理，明确要求开展线上和线下教学的教师必须严格遵守国家网络和信息安全管理规范，依法依规组织师生开展线上和线下学习活动，为师生提供优质高效的全方位、个性化服务。</w:t>
      </w:r>
    </w:p>
    <w:p w:rsidR="00B92DC2" w:rsidRPr="00625947" w:rsidRDefault="00B92DC2" w:rsidP="00B92DC2">
      <w:pPr>
        <w:adjustRightInd w:val="0"/>
        <w:snapToGrid w:val="0"/>
        <w:spacing w:line="560" w:lineRule="exact"/>
        <w:ind w:firstLineChars="200" w:firstLine="640"/>
        <w:rPr>
          <w:rFonts w:ascii="仿宋" w:eastAsia="仿宋" w:hAnsi="仿宋" w:cs="仿宋"/>
          <w:bCs/>
          <w:sz w:val="32"/>
          <w:szCs w:val="32"/>
        </w:rPr>
      </w:pPr>
      <w:r w:rsidRPr="009C1DAF">
        <w:rPr>
          <w:rFonts w:ascii="仿宋" w:eastAsia="仿宋" w:hAnsi="仿宋" w:cs="仿宋" w:hint="eastAsia"/>
          <w:sz w:val="32"/>
          <w:szCs w:val="32"/>
        </w:rPr>
        <w:t>加强对非全日制培养模式学生的学习过程管理，坚持严格管理与精心指导相结合，为不同生源群体配备有一定阅历和工作经验的辅导员或班主任，配合任课教师共同做好学生在校外学习的指导、敦促和检查工作。</w:t>
      </w:r>
    </w:p>
    <w:p w:rsidR="00B92DC2" w:rsidRPr="00625947" w:rsidRDefault="00B92DC2" w:rsidP="00B92DC2">
      <w:pPr>
        <w:pStyle w:val="a3"/>
        <w:numPr>
          <w:ilvl w:val="0"/>
          <w:numId w:val="1"/>
        </w:numPr>
        <w:adjustRightInd w:val="0"/>
        <w:snapToGrid w:val="0"/>
        <w:spacing w:beforeLines="50" w:before="156" w:afterLines="50" w:after="156" w:line="560" w:lineRule="exact"/>
        <w:ind w:left="0" w:firstLineChars="177" w:firstLine="566"/>
        <w:rPr>
          <w:rFonts w:ascii="黑体" w:eastAsia="黑体" w:hAnsi="黑体" w:cs="仿宋_GB2312"/>
          <w:bCs/>
          <w:kern w:val="0"/>
          <w:sz w:val="32"/>
          <w:szCs w:val="32"/>
        </w:rPr>
      </w:pPr>
      <w:r w:rsidRPr="00625947">
        <w:rPr>
          <w:rFonts w:ascii="黑体" w:eastAsia="黑体" w:hAnsi="黑体" w:cs="仿宋_GB2312" w:hint="eastAsia"/>
          <w:bCs/>
          <w:kern w:val="0"/>
          <w:sz w:val="32"/>
          <w:szCs w:val="32"/>
        </w:rPr>
        <w:t>如何加强教学资源建设与管理？</w:t>
      </w:r>
    </w:p>
    <w:p w:rsidR="00B92DC2" w:rsidRPr="00625947" w:rsidRDefault="00B92DC2" w:rsidP="00B92DC2">
      <w:pPr>
        <w:adjustRightInd w:val="0"/>
        <w:snapToGrid w:val="0"/>
        <w:spacing w:line="560" w:lineRule="exact"/>
        <w:ind w:firstLineChars="200" w:firstLine="640"/>
        <w:rPr>
          <w:rFonts w:ascii="仿宋" w:eastAsia="仿宋" w:hAnsi="仿宋" w:cs="仿宋"/>
          <w:bCs/>
          <w:sz w:val="32"/>
          <w:szCs w:val="32"/>
        </w:rPr>
      </w:pPr>
      <w:r w:rsidRPr="009C1DAF">
        <w:rPr>
          <w:rFonts w:ascii="仿宋" w:eastAsia="仿宋" w:hAnsi="仿宋" w:cs="仿宋" w:hint="eastAsia"/>
          <w:sz w:val="32"/>
          <w:szCs w:val="32"/>
        </w:rPr>
        <w:t>线上课程、线上教学资源库、线上教学平台等网络教学资源是实施“半工半读”“走读”等非全日制培养的重要基础教学资源。可采用自建、引进（购买）、共享等方式建设（获取）线上教学资源，并根据人才培养的需求和变化适时调整（更新）教学资源。可根据生源分布、生源工作性质等特点，在校外生源相对集中区域通过“共建”“共享”等形式与企业共建校外实训（实践）基地，便于组织开展实践教学。</w:t>
      </w:r>
    </w:p>
    <w:p w:rsidR="00B92DC2" w:rsidRPr="00625947" w:rsidRDefault="00B92DC2" w:rsidP="00B92DC2">
      <w:pPr>
        <w:adjustRightInd w:val="0"/>
        <w:snapToGrid w:val="0"/>
        <w:spacing w:line="560" w:lineRule="exact"/>
        <w:ind w:firstLineChars="200" w:firstLine="640"/>
        <w:rPr>
          <w:rFonts w:ascii="仿宋" w:eastAsia="仿宋" w:hAnsi="仿宋" w:cs="仿宋"/>
          <w:bCs/>
          <w:sz w:val="32"/>
          <w:szCs w:val="32"/>
        </w:rPr>
      </w:pPr>
      <w:r w:rsidRPr="009C1DAF">
        <w:rPr>
          <w:rFonts w:ascii="仿宋" w:eastAsia="仿宋" w:hAnsi="仿宋" w:cs="仿宋" w:hint="eastAsia"/>
          <w:sz w:val="32"/>
          <w:szCs w:val="32"/>
        </w:rPr>
        <w:t>制定专门管理制度，对线上教学资源和线上教学平台进行严格管理。每一门线上课程必须经学校严格审核同意后方可投入使用。每一门线上课程都要配备课程负责人，对课程的使用进行指导和监控。</w:t>
      </w:r>
    </w:p>
    <w:p w:rsidR="00B92DC2" w:rsidRPr="00625947" w:rsidRDefault="00B92DC2" w:rsidP="00B92DC2">
      <w:pPr>
        <w:pStyle w:val="a3"/>
        <w:numPr>
          <w:ilvl w:val="0"/>
          <w:numId w:val="1"/>
        </w:numPr>
        <w:adjustRightInd w:val="0"/>
        <w:snapToGrid w:val="0"/>
        <w:spacing w:beforeLines="50" w:before="156" w:afterLines="50" w:after="156" w:line="560" w:lineRule="exact"/>
        <w:ind w:left="0" w:firstLineChars="177" w:firstLine="566"/>
        <w:rPr>
          <w:rFonts w:ascii="黑体" w:eastAsia="黑体" w:hAnsi="黑体" w:cs="仿宋_GB2312"/>
          <w:bCs/>
          <w:kern w:val="0"/>
          <w:sz w:val="32"/>
          <w:szCs w:val="32"/>
        </w:rPr>
      </w:pPr>
      <w:r w:rsidRPr="00625947">
        <w:rPr>
          <w:rFonts w:ascii="黑体" w:eastAsia="黑体" w:hAnsi="黑体" w:cs="仿宋_GB2312" w:hint="eastAsia"/>
          <w:bCs/>
          <w:kern w:val="0"/>
          <w:sz w:val="32"/>
          <w:szCs w:val="32"/>
        </w:rPr>
        <w:t>如何强化师资队伍保障？</w:t>
      </w:r>
    </w:p>
    <w:p w:rsidR="00B92DC2" w:rsidRPr="009C1DAF" w:rsidRDefault="00B92DC2" w:rsidP="00B92DC2">
      <w:pPr>
        <w:adjustRightInd w:val="0"/>
        <w:snapToGrid w:val="0"/>
        <w:spacing w:line="560" w:lineRule="exact"/>
        <w:ind w:firstLineChars="200" w:firstLine="640"/>
        <w:rPr>
          <w:rFonts w:ascii="仿宋" w:eastAsia="仿宋" w:hAnsi="仿宋" w:cs="仿宋"/>
          <w:sz w:val="32"/>
          <w:szCs w:val="32"/>
        </w:rPr>
      </w:pPr>
      <w:r w:rsidRPr="009C1DAF">
        <w:rPr>
          <w:rFonts w:ascii="仿宋" w:eastAsia="仿宋" w:hAnsi="仿宋" w:cs="仿宋" w:hint="eastAsia"/>
          <w:sz w:val="32"/>
          <w:szCs w:val="32"/>
        </w:rPr>
        <w:t>将配齐建强思想政治工作队伍摆在重要位置，列入学校教师队伍建设发展规划，通过</w:t>
      </w:r>
      <w:r w:rsidRPr="009C1DAF">
        <w:rPr>
          <w:rFonts w:ascii="仿宋" w:eastAsia="仿宋" w:hAnsi="仿宋" w:cs="仿宋"/>
          <w:bCs/>
          <w:sz w:val="32"/>
          <w:szCs w:val="32"/>
        </w:rPr>
        <w:t>资源融合</w:t>
      </w:r>
      <w:r w:rsidRPr="009C1DAF">
        <w:rPr>
          <w:rFonts w:ascii="仿宋" w:eastAsia="仿宋" w:hAnsi="仿宋" w:cs="仿宋" w:hint="eastAsia"/>
          <w:bCs/>
          <w:sz w:val="32"/>
          <w:szCs w:val="32"/>
        </w:rPr>
        <w:t>挖</w:t>
      </w:r>
      <w:r w:rsidRPr="009C1DAF">
        <w:rPr>
          <w:rFonts w:ascii="仿宋" w:eastAsia="仿宋" w:hAnsi="仿宋" w:cs="仿宋"/>
          <w:bCs/>
          <w:sz w:val="32"/>
          <w:szCs w:val="32"/>
        </w:rPr>
        <w:t>潜一批，专项培训培育一批、校</w:t>
      </w:r>
      <w:r w:rsidRPr="009C1DAF">
        <w:rPr>
          <w:rFonts w:ascii="仿宋" w:eastAsia="仿宋" w:hAnsi="仿宋" w:cs="仿宋" w:hint="eastAsia"/>
          <w:bCs/>
          <w:sz w:val="32"/>
          <w:szCs w:val="32"/>
        </w:rPr>
        <w:t>企合</w:t>
      </w:r>
      <w:r w:rsidRPr="009C1DAF">
        <w:rPr>
          <w:rFonts w:ascii="仿宋" w:eastAsia="仿宋" w:hAnsi="仿宋" w:cs="仿宋"/>
          <w:bCs/>
          <w:sz w:val="32"/>
          <w:szCs w:val="32"/>
        </w:rPr>
        <w:t>作解决一批、</w:t>
      </w:r>
      <w:r w:rsidRPr="009C1DAF">
        <w:rPr>
          <w:rFonts w:ascii="仿宋" w:eastAsia="仿宋" w:hAnsi="仿宋" w:cs="仿宋" w:hint="eastAsia"/>
          <w:bCs/>
          <w:sz w:val="32"/>
          <w:szCs w:val="32"/>
        </w:rPr>
        <w:t>返聘退休教师</w:t>
      </w:r>
      <w:r w:rsidRPr="009C1DAF">
        <w:rPr>
          <w:rFonts w:ascii="仿宋" w:eastAsia="仿宋" w:hAnsi="仿宋" w:cs="仿宋"/>
          <w:bCs/>
          <w:sz w:val="32"/>
          <w:szCs w:val="32"/>
        </w:rPr>
        <w:t>补充一批</w:t>
      </w:r>
      <w:r w:rsidRPr="009C1DAF">
        <w:rPr>
          <w:rFonts w:ascii="仿宋" w:eastAsia="仿宋" w:hAnsi="仿宋" w:cs="仿宋" w:hint="eastAsia"/>
          <w:bCs/>
          <w:sz w:val="32"/>
          <w:szCs w:val="32"/>
        </w:rPr>
        <w:t>、</w:t>
      </w:r>
      <w:r w:rsidRPr="009C1DAF">
        <w:rPr>
          <w:rFonts w:ascii="仿宋" w:eastAsia="仿宋" w:hAnsi="仿宋" w:cs="仿宋"/>
          <w:bCs/>
          <w:sz w:val="32"/>
          <w:szCs w:val="32"/>
        </w:rPr>
        <w:t>社会力</w:t>
      </w:r>
      <w:r w:rsidRPr="009C1DAF">
        <w:rPr>
          <w:rFonts w:ascii="仿宋" w:eastAsia="仿宋" w:hAnsi="仿宋" w:cs="仿宋" w:hint="eastAsia"/>
          <w:bCs/>
          <w:sz w:val="32"/>
          <w:szCs w:val="32"/>
        </w:rPr>
        <w:t>量</w:t>
      </w:r>
      <w:r w:rsidRPr="009C1DAF">
        <w:rPr>
          <w:rFonts w:ascii="仿宋" w:eastAsia="仿宋" w:hAnsi="仿宋" w:cs="仿宋"/>
          <w:bCs/>
          <w:sz w:val="32"/>
          <w:szCs w:val="32"/>
        </w:rPr>
        <w:t>兼职一批</w:t>
      </w:r>
      <w:r w:rsidRPr="009C1DAF">
        <w:rPr>
          <w:rFonts w:ascii="仿宋" w:eastAsia="仿宋" w:hAnsi="仿宋" w:cs="仿宋" w:hint="eastAsia"/>
          <w:bCs/>
          <w:sz w:val="32"/>
          <w:szCs w:val="32"/>
        </w:rPr>
        <w:t>等方式</w:t>
      </w:r>
      <w:r w:rsidRPr="009C1DAF">
        <w:rPr>
          <w:rFonts w:ascii="仿宋" w:eastAsia="仿宋" w:hAnsi="仿宋" w:cs="仿宋"/>
          <w:bCs/>
          <w:sz w:val="32"/>
          <w:szCs w:val="32"/>
        </w:rPr>
        <w:t>加快补充急需的专业教师</w:t>
      </w:r>
      <w:r w:rsidRPr="009C1DAF">
        <w:rPr>
          <w:rFonts w:ascii="仿宋" w:eastAsia="仿宋" w:hAnsi="仿宋" w:cs="仿宋" w:hint="eastAsia"/>
          <w:bCs/>
          <w:sz w:val="32"/>
          <w:szCs w:val="32"/>
        </w:rPr>
        <w:t>，努力</w:t>
      </w:r>
      <w:r w:rsidRPr="009C1DAF">
        <w:rPr>
          <w:rFonts w:ascii="仿宋" w:eastAsia="仿宋" w:hAnsi="仿宋" w:cs="仿宋" w:hint="eastAsia"/>
          <w:sz w:val="32"/>
          <w:szCs w:val="32"/>
        </w:rPr>
        <w:t>建设一支师德高尚、数量充足、结构合理、技艺精湛、充满活力的高素质双师型专业师资队伍。</w:t>
      </w:r>
    </w:p>
    <w:p w:rsidR="00B92DC2" w:rsidRPr="009C1DAF" w:rsidRDefault="00B92DC2" w:rsidP="00B92DC2">
      <w:pPr>
        <w:adjustRightInd w:val="0"/>
        <w:snapToGrid w:val="0"/>
        <w:spacing w:line="560" w:lineRule="exact"/>
        <w:ind w:firstLineChars="200" w:firstLine="640"/>
        <w:rPr>
          <w:rFonts w:ascii="仿宋" w:eastAsia="仿宋" w:hAnsi="仿宋" w:cs="仿宋"/>
          <w:sz w:val="32"/>
          <w:szCs w:val="32"/>
        </w:rPr>
      </w:pPr>
      <w:r w:rsidRPr="009C1DAF">
        <w:rPr>
          <w:rFonts w:ascii="仿宋" w:eastAsia="仿宋" w:hAnsi="仿宋" w:cs="仿宋" w:hint="eastAsia"/>
          <w:sz w:val="32"/>
          <w:szCs w:val="32"/>
        </w:rPr>
        <w:t>强化师德师风建设，引导教师注重坚守专业精神、职业精神和工匠精神，践行社会主义核心价值观，做到“以德立身、以德立学、以德立教”。组建教师教学创新团队，明确团队教师职责分工，支持每位教师形成特色教学风格。全面落实教师</w:t>
      </w:r>
      <w:r w:rsidRPr="009C1DAF">
        <w:rPr>
          <w:rFonts w:ascii="仿宋" w:eastAsia="仿宋" w:hAnsi="仿宋" w:cs="仿宋"/>
          <w:sz w:val="32"/>
          <w:szCs w:val="32"/>
        </w:rPr>
        <w:t>5年一周期的全员轮训制度，把国家教学标准、国家职业标准、“1+X”证书制度等相关标准等纳入教师培训的必修模块，提升教师模块化教学设计实施能力、课程标准开发能力、教学评价能力、团队协作能力和信息技术应用能力，不断提高教育教学和人才培养质量。</w:t>
      </w:r>
    </w:p>
    <w:p w:rsidR="00B92DC2" w:rsidRPr="00625947" w:rsidRDefault="00B92DC2" w:rsidP="00B92DC2">
      <w:pPr>
        <w:pStyle w:val="a3"/>
        <w:numPr>
          <w:ilvl w:val="0"/>
          <w:numId w:val="1"/>
        </w:numPr>
        <w:adjustRightInd w:val="0"/>
        <w:snapToGrid w:val="0"/>
        <w:spacing w:beforeLines="50" w:before="156" w:afterLines="50" w:after="156" w:line="560" w:lineRule="exact"/>
        <w:ind w:left="0" w:firstLineChars="177" w:firstLine="566"/>
        <w:rPr>
          <w:rFonts w:ascii="黑体" w:eastAsia="黑体" w:hAnsi="黑体" w:cs="仿宋_GB2312"/>
          <w:bCs/>
          <w:kern w:val="0"/>
          <w:sz w:val="32"/>
          <w:szCs w:val="32"/>
        </w:rPr>
      </w:pPr>
      <w:r w:rsidRPr="00625947">
        <w:rPr>
          <w:rFonts w:ascii="黑体" w:eastAsia="黑体" w:hAnsi="黑体" w:cs="仿宋_GB2312" w:hint="eastAsia"/>
          <w:bCs/>
          <w:kern w:val="0"/>
          <w:sz w:val="32"/>
          <w:szCs w:val="32"/>
        </w:rPr>
        <w:t>如何创新教学组织形式？</w:t>
      </w:r>
    </w:p>
    <w:p w:rsidR="00B92DC2" w:rsidRPr="00625947" w:rsidRDefault="00B92DC2" w:rsidP="00B92DC2">
      <w:pPr>
        <w:adjustRightInd w:val="0"/>
        <w:snapToGrid w:val="0"/>
        <w:spacing w:line="560" w:lineRule="exact"/>
        <w:ind w:firstLineChars="200" w:firstLine="640"/>
        <w:rPr>
          <w:rFonts w:ascii="仿宋" w:eastAsia="仿宋" w:hAnsi="仿宋" w:cs="仿宋"/>
          <w:bCs/>
          <w:sz w:val="32"/>
          <w:szCs w:val="32"/>
        </w:rPr>
      </w:pPr>
      <w:r w:rsidRPr="009C1DAF">
        <w:rPr>
          <w:rFonts w:ascii="仿宋" w:eastAsia="仿宋" w:hAnsi="仿宋" w:cs="仿宋" w:hint="eastAsia"/>
          <w:sz w:val="32"/>
          <w:szCs w:val="32"/>
        </w:rPr>
        <w:t>可采取集中教学与分散教学相结合、校内教学与校外教学相结合、线上教学与线下教学相结合等方式。鼓励采用“线上教学资源平台</w:t>
      </w:r>
      <w:r w:rsidRPr="009C1DAF">
        <w:rPr>
          <w:rFonts w:ascii="仿宋" w:eastAsia="仿宋" w:hAnsi="仿宋" w:cs="仿宋"/>
          <w:sz w:val="32"/>
          <w:szCs w:val="32"/>
        </w:rPr>
        <w:t>+线上教学直播平台”的组合形式开展线上直播课堂教学活动，同时做好学生线上考勤、师生互动与答疑、课后辅导、学习考核等工作，确保学生在线学习轨迹有记录、可追溯。</w:t>
      </w:r>
    </w:p>
    <w:p w:rsidR="00B92DC2" w:rsidRPr="009C1DAF" w:rsidRDefault="00B92DC2" w:rsidP="00B92DC2">
      <w:pPr>
        <w:adjustRightInd w:val="0"/>
        <w:snapToGrid w:val="0"/>
        <w:spacing w:line="560" w:lineRule="exact"/>
        <w:ind w:firstLineChars="200" w:firstLine="640"/>
        <w:rPr>
          <w:rFonts w:ascii="仿宋" w:eastAsia="仿宋" w:hAnsi="仿宋" w:cs="仿宋"/>
          <w:sz w:val="32"/>
          <w:szCs w:val="32"/>
        </w:rPr>
      </w:pPr>
      <w:r w:rsidRPr="009C1DAF">
        <w:rPr>
          <w:rFonts w:ascii="仿宋" w:eastAsia="仿宋" w:hAnsi="仿宋" w:cs="仿宋" w:hint="eastAsia"/>
          <w:sz w:val="32"/>
          <w:szCs w:val="32"/>
        </w:rPr>
        <w:t>针对不同生源群体，采用灵活多样的教学方式，确保教学工作顺利推进。对在岗职工可采用线上线下教学相结合的教学模式。对退役军人、下岗失业人员、农民工等，可根据行业企业生产规律，实施“旺工淡学”的错峰教学。对高素质农民、新型职业农民、农村“两委”委员、相对集中的在岗职工等，应积极做好“送教下乡”“送教上门”等教学服务工作。在学生相对集中的区域设立“社区学区”“企业学区”，就近实施集中教学。</w:t>
      </w:r>
    </w:p>
    <w:p w:rsidR="00B92DC2" w:rsidRPr="00625947" w:rsidRDefault="00B92DC2" w:rsidP="00B92DC2">
      <w:pPr>
        <w:pStyle w:val="a3"/>
        <w:numPr>
          <w:ilvl w:val="0"/>
          <w:numId w:val="1"/>
        </w:numPr>
        <w:adjustRightInd w:val="0"/>
        <w:snapToGrid w:val="0"/>
        <w:spacing w:beforeLines="50" w:before="156" w:afterLines="50" w:after="156" w:line="560" w:lineRule="exact"/>
        <w:ind w:left="0" w:firstLineChars="177" w:firstLine="566"/>
        <w:rPr>
          <w:rFonts w:ascii="黑体" w:eastAsia="黑体" w:hAnsi="黑体" w:cs="仿宋_GB2312"/>
          <w:bCs/>
          <w:kern w:val="0"/>
          <w:sz w:val="32"/>
          <w:szCs w:val="32"/>
        </w:rPr>
      </w:pPr>
      <w:r w:rsidRPr="00625947">
        <w:rPr>
          <w:rFonts w:ascii="黑体" w:eastAsia="黑体" w:hAnsi="黑体" w:cs="仿宋_GB2312" w:hint="eastAsia"/>
          <w:bCs/>
          <w:kern w:val="0"/>
          <w:sz w:val="32"/>
          <w:szCs w:val="32"/>
        </w:rPr>
        <w:t>如何制定（修订）质量评价体系？</w:t>
      </w:r>
    </w:p>
    <w:p w:rsidR="00B92DC2" w:rsidRPr="00625947" w:rsidRDefault="00B92DC2" w:rsidP="00B92DC2">
      <w:pPr>
        <w:adjustRightInd w:val="0"/>
        <w:snapToGrid w:val="0"/>
        <w:spacing w:line="560" w:lineRule="exact"/>
        <w:ind w:firstLineChars="200" w:firstLine="640"/>
        <w:rPr>
          <w:rFonts w:ascii="仿宋" w:eastAsia="仿宋" w:hAnsi="仿宋" w:cs="仿宋"/>
          <w:bCs/>
          <w:sz w:val="32"/>
          <w:szCs w:val="32"/>
        </w:rPr>
      </w:pPr>
      <w:r w:rsidRPr="009C1DAF">
        <w:rPr>
          <w:rFonts w:ascii="仿宋" w:eastAsia="仿宋" w:hAnsi="仿宋" w:cs="仿宋" w:hint="eastAsia"/>
          <w:sz w:val="32"/>
          <w:szCs w:val="32"/>
        </w:rPr>
        <w:t>严把毕业关。针对不同生源、不同学习时间、不同学习方式等因素，改革学生学业考核评价方式方法，以对学生学习态度、学习过程情况的考核为基础，构建基于职业精神、专业素养和技术技能和创业创新能力培养的多样化、多元化考核评价体系。探索由学校、行业、企业、家长和社会等共同组成评价主体，构建评价主体的多元化。探索由专业知识、专业素养、实践能力、人文素质、团队协作精神、职业道德、创业创新能力等组成的评价内容，构建评价内容的多样化。坚持结果评价与过程评价、定量评价与定性评价、教师评价与学生评价的原则、学校评价与企业评价相结合等原则</w:t>
      </w:r>
      <w:r w:rsidRPr="009C1DAF">
        <w:rPr>
          <w:rFonts w:ascii="仿宋" w:eastAsia="仿宋" w:hAnsi="仿宋" w:cs="仿宋"/>
          <w:sz w:val="32"/>
          <w:szCs w:val="32"/>
        </w:rPr>
        <w:t>,全面考核和评价学生，构建评价方法的多样化。</w:t>
      </w:r>
    </w:p>
    <w:p w:rsidR="00B92DC2" w:rsidRPr="00625947" w:rsidRDefault="00B92DC2" w:rsidP="00B92DC2">
      <w:pPr>
        <w:adjustRightInd w:val="0"/>
        <w:snapToGrid w:val="0"/>
        <w:spacing w:line="560" w:lineRule="exact"/>
        <w:ind w:firstLineChars="200" w:firstLine="640"/>
        <w:rPr>
          <w:rFonts w:ascii="仿宋" w:eastAsia="仿宋" w:hAnsi="仿宋" w:cs="仿宋"/>
          <w:bCs/>
          <w:sz w:val="32"/>
          <w:szCs w:val="32"/>
        </w:rPr>
      </w:pPr>
      <w:r w:rsidRPr="00625947">
        <w:rPr>
          <w:rFonts w:ascii="仿宋" w:eastAsia="仿宋" w:hAnsi="仿宋" w:cs="仿宋" w:hint="eastAsia"/>
          <w:bCs/>
          <w:sz w:val="32"/>
          <w:szCs w:val="32"/>
        </w:rPr>
        <w:t>可依据专业教学标准、职业标准等，合理制定本校学习成果认定、积累和转换标准、转换办法、实施办法及其审批程序，经学校党委会议或校长办公会审定后发布实施。</w:t>
      </w:r>
    </w:p>
    <w:p w:rsidR="00496C98" w:rsidRPr="00B92DC2" w:rsidRDefault="00496C98" w:rsidP="00B92DC2">
      <w:pPr>
        <w:widowControl/>
        <w:jc w:val="left"/>
      </w:pPr>
    </w:p>
    <w:sectPr w:rsidR="00496C98" w:rsidRPr="00B92D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980" w:rsidRDefault="00533980" w:rsidP="00561054">
      <w:r>
        <w:separator/>
      </w:r>
    </w:p>
  </w:endnote>
  <w:endnote w:type="continuationSeparator" w:id="0">
    <w:p w:rsidR="00533980" w:rsidRDefault="00533980" w:rsidP="00561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980" w:rsidRDefault="00533980" w:rsidP="00561054">
      <w:r>
        <w:separator/>
      </w:r>
    </w:p>
  </w:footnote>
  <w:footnote w:type="continuationSeparator" w:id="0">
    <w:p w:rsidR="00533980" w:rsidRDefault="00533980" w:rsidP="005610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D047A3"/>
    <w:multiLevelType w:val="hybridMultilevel"/>
    <w:tmpl w:val="B6B4A24C"/>
    <w:lvl w:ilvl="0" w:tplc="441A06A2">
      <w:start w:val="1"/>
      <w:numFmt w:val="chineseCountingThousand"/>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DC2"/>
    <w:rsid w:val="00141F94"/>
    <w:rsid w:val="00496C98"/>
    <w:rsid w:val="00533980"/>
    <w:rsid w:val="00561054"/>
    <w:rsid w:val="00B92DC2"/>
    <w:rsid w:val="00DB4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98C520-5704-4361-8246-305FD28D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D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2DC2"/>
    <w:pPr>
      <w:ind w:firstLineChars="200" w:firstLine="420"/>
    </w:pPr>
    <w:rPr>
      <w:szCs w:val="24"/>
    </w:rPr>
  </w:style>
  <w:style w:type="paragraph" w:styleId="a4">
    <w:name w:val="header"/>
    <w:basedOn w:val="a"/>
    <w:link w:val="Char"/>
    <w:uiPriority w:val="99"/>
    <w:unhideWhenUsed/>
    <w:rsid w:val="005610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61054"/>
    <w:rPr>
      <w:sz w:val="18"/>
      <w:szCs w:val="18"/>
    </w:rPr>
  </w:style>
  <w:style w:type="paragraph" w:styleId="a5">
    <w:name w:val="footer"/>
    <w:basedOn w:val="a"/>
    <w:link w:val="Char0"/>
    <w:uiPriority w:val="99"/>
    <w:unhideWhenUsed/>
    <w:rsid w:val="00561054"/>
    <w:pPr>
      <w:tabs>
        <w:tab w:val="center" w:pos="4153"/>
        <w:tab w:val="right" w:pos="8306"/>
      </w:tabs>
      <w:snapToGrid w:val="0"/>
      <w:jc w:val="left"/>
    </w:pPr>
    <w:rPr>
      <w:sz w:val="18"/>
      <w:szCs w:val="18"/>
    </w:rPr>
  </w:style>
  <w:style w:type="character" w:customStyle="1" w:styleId="Char0">
    <w:name w:val="页脚 Char"/>
    <w:basedOn w:val="a0"/>
    <w:link w:val="a5"/>
    <w:uiPriority w:val="99"/>
    <w:rsid w:val="005610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2463</Characters>
  <Application>Microsoft Office Word</Application>
  <DocSecurity>0</DocSecurity>
  <Lines>20</Lines>
  <Paragraphs>5</Paragraphs>
  <ScaleCrop>false</ScaleCrop>
  <Company>P R C</Company>
  <LinksUpToDate>false</LinksUpToDate>
  <CharactersWithSpaces>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吴珂</dc:creator>
  <cp:keywords/>
  <dc:description/>
  <cp:lastModifiedBy>admin</cp:lastModifiedBy>
  <cp:revision>3</cp:revision>
  <dcterms:created xsi:type="dcterms:W3CDTF">2020-06-01T12:05:00Z</dcterms:created>
  <dcterms:modified xsi:type="dcterms:W3CDTF">2020-06-12T00:31:00Z</dcterms:modified>
</cp:coreProperties>
</file>