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B5" w:rsidRDefault="002A65B5" w:rsidP="002A65B5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5A0FA4" w:rsidRPr="002A65B5" w:rsidRDefault="002A65B5" w:rsidP="002A65B5">
      <w:pPr>
        <w:jc w:val="center"/>
        <w:rPr>
          <w:rFonts w:ascii="黑体" w:eastAsia="黑体" w:hAnsi="黑体"/>
          <w:b/>
          <w:sz w:val="28"/>
          <w:szCs w:val="28"/>
        </w:rPr>
      </w:pPr>
      <w:r w:rsidRPr="002A65B5">
        <w:rPr>
          <w:rFonts w:ascii="黑体" w:eastAsia="黑体" w:hAnsi="黑体" w:hint="eastAsia"/>
          <w:b/>
          <w:sz w:val="28"/>
          <w:szCs w:val="28"/>
        </w:rPr>
        <w:t>全国教育科学“十三五”规划2018年度单位资助教育部规划课题拟推荐上报项目名单(12项)</w:t>
      </w:r>
    </w:p>
    <w:p w:rsidR="002A65B5" w:rsidRDefault="002A65B5" w:rsidP="002A65B5">
      <w:pPr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123" w:type="pct"/>
        <w:tblLook w:val="04A0" w:firstRow="1" w:lastRow="0" w:firstColumn="1" w:lastColumn="0" w:noHBand="0" w:noVBand="1"/>
      </w:tblPr>
      <w:tblGrid>
        <w:gridCol w:w="869"/>
        <w:gridCol w:w="3392"/>
        <w:gridCol w:w="1121"/>
        <w:gridCol w:w="3350"/>
      </w:tblGrid>
      <w:tr w:rsidR="002A65B5" w:rsidTr="00527E20">
        <w:trPr>
          <w:trHeight w:val="526"/>
        </w:trPr>
        <w:tc>
          <w:tcPr>
            <w:tcW w:w="498" w:type="pct"/>
          </w:tcPr>
          <w:p w:rsidR="002A65B5" w:rsidRPr="002A65B5" w:rsidRDefault="002A65B5" w:rsidP="002A65B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2A65B5">
              <w:rPr>
                <w:rFonts w:ascii="黑体" w:eastAsia="黑体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42" w:type="pct"/>
          </w:tcPr>
          <w:p w:rsidR="002A65B5" w:rsidRPr="002A65B5" w:rsidRDefault="002A65B5" w:rsidP="002A65B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2A65B5">
              <w:rPr>
                <w:rFonts w:ascii="黑体" w:eastAsia="黑体" w:hAnsi="黑体" w:hint="eastAsia"/>
                <w:b/>
                <w:sz w:val="24"/>
                <w:szCs w:val="24"/>
              </w:rPr>
              <w:t>课题</w:t>
            </w:r>
            <w:r w:rsidRPr="002A65B5">
              <w:rPr>
                <w:rFonts w:ascii="黑体" w:eastAsia="黑体" w:hAnsi="黑体"/>
                <w:b/>
                <w:sz w:val="24"/>
                <w:szCs w:val="24"/>
              </w:rPr>
              <w:t>名称</w:t>
            </w:r>
          </w:p>
        </w:tc>
        <w:tc>
          <w:tcPr>
            <w:tcW w:w="642" w:type="pct"/>
          </w:tcPr>
          <w:p w:rsidR="002A65B5" w:rsidRPr="002A65B5" w:rsidRDefault="002A65B5" w:rsidP="002A65B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2A65B5">
              <w:rPr>
                <w:rFonts w:ascii="黑体" w:eastAsia="黑体" w:hAnsi="黑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918" w:type="pct"/>
          </w:tcPr>
          <w:p w:rsidR="002A65B5" w:rsidRPr="002A65B5" w:rsidRDefault="002A65B5" w:rsidP="002A65B5">
            <w:pPr>
              <w:rPr>
                <w:rFonts w:ascii="黑体" w:eastAsia="黑体" w:hAnsi="黑体"/>
                <w:b/>
                <w:sz w:val="24"/>
                <w:szCs w:val="24"/>
              </w:rPr>
            </w:pPr>
            <w:r w:rsidRPr="002A65B5">
              <w:rPr>
                <w:rFonts w:ascii="黑体" w:eastAsia="黑体" w:hAnsi="黑体" w:hint="eastAsia"/>
                <w:b/>
                <w:sz w:val="24"/>
                <w:szCs w:val="24"/>
              </w:rPr>
              <w:t>所在</w:t>
            </w:r>
            <w:r w:rsidRPr="002A65B5">
              <w:rPr>
                <w:rFonts w:ascii="黑体" w:eastAsia="黑体" w:hAnsi="黑体"/>
                <w:b/>
                <w:sz w:val="24"/>
                <w:szCs w:val="24"/>
              </w:rPr>
              <w:t>单位</w:t>
            </w:r>
          </w:p>
        </w:tc>
      </w:tr>
      <w:tr w:rsidR="002A65B5" w:rsidTr="002A65B5">
        <w:tc>
          <w:tcPr>
            <w:tcW w:w="498" w:type="pct"/>
          </w:tcPr>
          <w:p w:rsidR="002A65B5" w:rsidRPr="002A65B5" w:rsidRDefault="002A65B5" w:rsidP="002A65B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65B5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9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少数民族贫困地区教师专业发展策略的行动研究——以南宁市上林县为例</w:t>
            </w:r>
          </w:p>
        </w:tc>
        <w:tc>
          <w:tcPr>
            <w:tcW w:w="6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proofErr w:type="gramStart"/>
            <w:r w:rsidRPr="002A65B5">
              <w:rPr>
                <w:rFonts w:hint="eastAsia"/>
                <w:sz w:val="24"/>
                <w:szCs w:val="24"/>
              </w:rPr>
              <w:t>戴启猛</w:t>
            </w:r>
            <w:proofErr w:type="gramEnd"/>
          </w:p>
        </w:tc>
        <w:tc>
          <w:tcPr>
            <w:tcW w:w="1918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南宁市教育科学研究所</w:t>
            </w:r>
          </w:p>
        </w:tc>
      </w:tr>
      <w:tr w:rsidR="002A65B5" w:rsidTr="002A65B5">
        <w:tc>
          <w:tcPr>
            <w:tcW w:w="498" w:type="pct"/>
          </w:tcPr>
          <w:p w:rsidR="002A65B5" w:rsidRPr="002A65B5" w:rsidRDefault="002A65B5" w:rsidP="002A65B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65B5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19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智能时代新商科高职通识教育改革研究与实践</w:t>
            </w:r>
          </w:p>
        </w:tc>
        <w:tc>
          <w:tcPr>
            <w:tcW w:w="6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莫少林</w:t>
            </w:r>
          </w:p>
        </w:tc>
        <w:tc>
          <w:tcPr>
            <w:tcW w:w="1918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广西经</w:t>
            </w:r>
            <w:bookmarkStart w:id="0" w:name="_GoBack"/>
            <w:bookmarkEnd w:id="0"/>
            <w:r w:rsidRPr="002A65B5">
              <w:rPr>
                <w:rFonts w:hint="eastAsia"/>
                <w:sz w:val="24"/>
                <w:szCs w:val="24"/>
              </w:rPr>
              <w:t>贸职业技术学院</w:t>
            </w:r>
          </w:p>
        </w:tc>
      </w:tr>
      <w:tr w:rsidR="002A65B5" w:rsidTr="002A65B5">
        <w:tc>
          <w:tcPr>
            <w:tcW w:w="498" w:type="pct"/>
          </w:tcPr>
          <w:p w:rsidR="002A65B5" w:rsidRPr="002A65B5" w:rsidRDefault="002A65B5" w:rsidP="002A65B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65B5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19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立德树人要求下高校教师德育领导力的价值认同和促进机制研究</w:t>
            </w:r>
          </w:p>
        </w:tc>
        <w:tc>
          <w:tcPr>
            <w:tcW w:w="6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胡泽民</w:t>
            </w:r>
          </w:p>
        </w:tc>
        <w:tc>
          <w:tcPr>
            <w:tcW w:w="1918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桂林航天工业学院</w:t>
            </w:r>
          </w:p>
        </w:tc>
      </w:tr>
      <w:tr w:rsidR="002A65B5" w:rsidTr="002A65B5">
        <w:tc>
          <w:tcPr>
            <w:tcW w:w="498" w:type="pct"/>
          </w:tcPr>
          <w:p w:rsidR="002A65B5" w:rsidRPr="002A65B5" w:rsidRDefault="002A65B5" w:rsidP="002A65B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65B5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19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中职学校新商科产教融合人才培养研究</w:t>
            </w:r>
          </w:p>
        </w:tc>
        <w:tc>
          <w:tcPr>
            <w:tcW w:w="6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黄春荣</w:t>
            </w:r>
          </w:p>
        </w:tc>
        <w:tc>
          <w:tcPr>
            <w:tcW w:w="1918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广西物资学校</w:t>
            </w:r>
          </w:p>
        </w:tc>
      </w:tr>
      <w:tr w:rsidR="002A65B5" w:rsidTr="002A65B5">
        <w:tc>
          <w:tcPr>
            <w:tcW w:w="498" w:type="pct"/>
          </w:tcPr>
          <w:p w:rsidR="002A65B5" w:rsidRPr="002A65B5" w:rsidRDefault="002A65B5" w:rsidP="002A65B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65B5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19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国家级贫困县幼儿教师专业发展困境突破——“乡村名师引领</w:t>
            </w:r>
            <w:r w:rsidRPr="002A65B5">
              <w:rPr>
                <w:rFonts w:hint="eastAsia"/>
                <w:sz w:val="24"/>
                <w:szCs w:val="24"/>
              </w:rPr>
              <w:t>+</w:t>
            </w:r>
            <w:r w:rsidRPr="002A65B5">
              <w:rPr>
                <w:rFonts w:hint="eastAsia"/>
                <w:sz w:val="24"/>
                <w:szCs w:val="24"/>
              </w:rPr>
              <w:t>巡培团”培训模式研究</w:t>
            </w:r>
          </w:p>
        </w:tc>
        <w:tc>
          <w:tcPr>
            <w:tcW w:w="6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2A65B5">
              <w:rPr>
                <w:rFonts w:hint="eastAsia"/>
                <w:sz w:val="24"/>
                <w:szCs w:val="24"/>
              </w:rPr>
              <w:t>萍</w:t>
            </w:r>
          </w:p>
        </w:tc>
        <w:tc>
          <w:tcPr>
            <w:tcW w:w="1918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广西幼儿师范高等专科学校</w:t>
            </w:r>
          </w:p>
        </w:tc>
      </w:tr>
      <w:tr w:rsidR="002A65B5" w:rsidTr="002A65B5">
        <w:tc>
          <w:tcPr>
            <w:tcW w:w="498" w:type="pct"/>
          </w:tcPr>
          <w:p w:rsidR="002A65B5" w:rsidRPr="002A65B5" w:rsidRDefault="002A65B5" w:rsidP="002A65B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65B5"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19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社会治理视域下民族地区传统德育方法论研究</w:t>
            </w:r>
          </w:p>
        </w:tc>
        <w:tc>
          <w:tcPr>
            <w:tcW w:w="6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文春霞</w:t>
            </w:r>
          </w:p>
        </w:tc>
        <w:tc>
          <w:tcPr>
            <w:tcW w:w="1918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广西民族大学</w:t>
            </w:r>
          </w:p>
        </w:tc>
      </w:tr>
      <w:tr w:rsidR="002A65B5" w:rsidTr="002A65B5">
        <w:tc>
          <w:tcPr>
            <w:tcW w:w="498" w:type="pct"/>
          </w:tcPr>
          <w:p w:rsidR="002A65B5" w:rsidRPr="002A65B5" w:rsidRDefault="002A65B5" w:rsidP="002A65B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65B5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19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高等教育精准扶贫政策范式研究：基于贫困大学生扶志扶</w:t>
            </w:r>
            <w:proofErr w:type="gramStart"/>
            <w:r w:rsidRPr="002A65B5">
              <w:rPr>
                <w:rFonts w:hint="eastAsia"/>
                <w:sz w:val="24"/>
                <w:szCs w:val="24"/>
              </w:rPr>
              <w:t>智效果</w:t>
            </w:r>
            <w:proofErr w:type="gramEnd"/>
            <w:r w:rsidRPr="002A65B5">
              <w:rPr>
                <w:rFonts w:hint="eastAsia"/>
                <w:sz w:val="24"/>
                <w:szCs w:val="24"/>
              </w:rPr>
              <w:t>评估数据</w:t>
            </w:r>
          </w:p>
        </w:tc>
        <w:tc>
          <w:tcPr>
            <w:tcW w:w="6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proofErr w:type="gramStart"/>
            <w:r w:rsidRPr="002A65B5">
              <w:rPr>
                <w:rFonts w:hint="eastAsia"/>
                <w:sz w:val="24"/>
                <w:szCs w:val="24"/>
              </w:rPr>
              <w:t>韦春北</w:t>
            </w:r>
            <w:proofErr w:type="gramEnd"/>
          </w:p>
        </w:tc>
        <w:tc>
          <w:tcPr>
            <w:tcW w:w="1918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广西财经学院</w:t>
            </w:r>
          </w:p>
        </w:tc>
      </w:tr>
      <w:tr w:rsidR="002A65B5" w:rsidTr="002A65B5">
        <w:tc>
          <w:tcPr>
            <w:tcW w:w="498" w:type="pct"/>
          </w:tcPr>
          <w:p w:rsidR="002A65B5" w:rsidRPr="002A65B5" w:rsidRDefault="002A65B5" w:rsidP="002A65B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65B5"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19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中西阅读理论视域下的中小学阅读范式与应用研究</w:t>
            </w:r>
          </w:p>
        </w:tc>
        <w:tc>
          <w:tcPr>
            <w:tcW w:w="6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段双全</w:t>
            </w:r>
          </w:p>
        </w:tc>
        <w:tc>
          <w:tcPr>
            <w:tcW w:w="1918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贺州学院</w:t>
            </w:r>
          </w:p>
        </w:tc>
      </w:tr>
      <w:tr w:rsidR="002A65B5" w:rsidTr="002A65B5">
        <w:tc>
          <w:tcPr>
            <w:tcW w:w="498" w:type="pct"/>
          </w:tcPr>
          <w:p w:rsidR="002A65B5" w:rsidRPr="002A65B5" w:rsidRDefault="002A65B5" w:rsidP="002A65B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65B5">
              <w:rPr>
                <w:rFonts w:asciiTheme="minorEastAsia" w:hAnsiTheme="minorEastAsia" w:hint="eastAsia"/>
                <w:b/>
                <w:sz w:val="24"/>
                <w:szCs w:val="24"/>
              </w:rPr>
              <w:t>9</w:t>
            </w:r>
          </w:p>
        </w:tc>
        <w:tc>
          <w:tcPr>
            <w:tcW w:w="19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贫困地区学校利用红色文化资源打造校园文化的路径及实践研究</w:t>
            </w:r>
          </w:p>
        </w:tc>
        <w:tc>
          <w:tcPr>
            <w:tcW w:w="6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proofErr w:type="gramStart"/>
            <w:r w:rsidRPr="002A65B5">
              <w:rPr>
                <w:rFonts w:hint="eastAsia"/>
                <w:sz w:val="24"/>
                <w:szCs w:val="24"/>
              </w:rPr>
              <w:t>姚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2A65B5">
              <w:rPr>
                <w:rFonts w:hint="eastAsia"/>
                <w:sz w:val="24"/>
                <w:szCs w:val="24"/>
              </w:rPr>
              <w:t>波</w:t>
            </w:r>
          </w:p>
        </w:tc>
        <w:tc>
          <w:tcPr>
            <w:tcW w:w="1918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广西桂平市第一中学</w:t>
            </w:r>
          </w:p>
        </w:tc>
      </w:tr>
      <w:tr w:rsidR="002A65B5" w:rsidTr="002A65B5">
        <w:tc>
          <w:tcPr>
            <w:tcW w:w="498" w:type="pct"/>
          </w:tcPr>
          <w:p w:rsidR="002A65B5" w:rsidRPr="002A65B5" w:rsidRDefault="002A65B5" w:rsidP="002A65B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65B5">
              <w:rPr>
                <w:rFonts w:asciiTheme="minorEastAsia" w:hAnsiTheme="minorEastAsia" w:hint="eastAsia"/>
                <w:b/>
                <w:sz w:val="24"/>
                <w:szCs w:val="24"/>
              </w:rPr>
              <w:t>10</w:t>
            </w:r>
          </w:p>
        </w:tc>
        <w:tc>
          <w:tcPr>
            <w:tcW w:w="19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新形势下以岗位胜任力为核心的农村订单定向医学</w:t>
            </w:r>
            <w:proofErr w:type="gramStart"/>
            <w:r w:rsidRPr="002A65B5">
              <w:rPr>
                <w:rFonts w:hint="eastAsia"/>
                <w:sz w:val="24"/>
                <w:szCs w:val="24"/>
              </w:rPr>
              <w:t>生人才</w:t>
            </w:r>
            <w:proofErr w:type="gramEnd"/>
            <w:r w:rsidRPr="002A65B5">
              <w:rPr>
                <w:rFonts w:hint="eastAsia"/>
                <w:sz w:val="24"/>
                <w:szCs w:val="24"/>
              </w:rPr>
              <w:t>培养模式研究</w:t>
            </w:r>
          </w:p>
        </w:tc>
        <w:tc>
          <w:tcPr>
            <w:tcW w:w="6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proofErr w:type="gramStart"/>
            <w:r w:rsidRPr="002A65B5">
              <w:rPr>
                <w:rFonts w:hint="eastAsia"/>
                <w:sz w:val="24"/>
                <w:szCs w:val="24"/>
              </w:rPr>
              <w:t>赵劲民</w:t>
            </w:r>
            <w:proofErr w:type="gramEnd"/>
          </w:p>
        </w:tc>
        <w:tc>
          <w:tcPr>
            <w:tcW w:w="1918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广西医科大学</w:t>
            </w:r>
          </w:p>
        </w:tc>
      </w:tr>
      <w:tr w:rsidR="002A65B5" w:rsidTr="002A65B5">
        <w:tc>
          <w:tcPr>
            <w:tcW w:w="498" w:type="pct"/>
          </w:tcPr>
          <w:p w:rsidR="002A65B5" w:rsidRPr="002A65B5" w:rsidRDefault="002A65B5" w:rsidP="002A65B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65B5">
              <w:rPr>
                <w:rFonts w:asciiTheme="minorEastAsia" w:hAnsiTheme="minorEastAsia" w:hint="eastAsia"/>
                <w:b/>
                <w:sz w:val="24"/>
                <w:szCs w:val="24"/>
              </w:rPr>
              <w:t>11</w:t>
            </w:r>
          </w:p>
        </w:tc>
        <w:tc>
          <w:tcPr>
            <w:tcW w:w="19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情境创设与学科核心素养的养成研究</w:t>
            </w:r>
          </w:p>
        </w:tc>
        <w:tc>
          <w:tcPr>
            <w:tcW w:w="6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proofErr w:type="gramStart"/>
            <w:r w:rsidRPr="002A65B5">
              <w:rPr>
                <w:rFonts w:hint="eastAsia"/>
                <w:sz w:val="24"/>
                <w:szCs w:val="24"/>
              </w:rPr>
              <w:t>倪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2A65B5">
              <w:rPr>
                <w:rFonts w:hint="eastAsia"/>
                <w:sz w:val="24"/>
                <w:szCs w:val="24"/>
              </w:rPr>
              <w:t>峥</w:t>
            </w:r>
            <w:proofErr w:type="gramEnd"/>
          </w:p>
        </w:tc>
        <w:tc>
          <w:tcPr>
            <w:tcW w:w="1918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北海市教育科学研究所</w:t>
            </w:r>
          </w:p>
        </w:tc>
      </w:tr>
      <w:tr w:rsidR="002A65B5" w:rsidTr="002A65B5">
        <w:tc>
          <w:tcPr>
            <w:tcW w:w="498" w:type="pct"/>
          </w:tcPr>
          <w:p w:rsidR="002A65B5" w:rsidRPr="002A65B5" w:rsidRDefault="002A65B5" w:rsidP="002A65B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65B5">
              <w:rPr>
                <w:rFonts w:asciiTheme="minorEastAsia" w:hAnsiTheme="minorEastAsia" w:hint="eastAsia"/>
                <w:b/>
                <w:sz w:val="24"/>
                <w:szCs w:val="24"/>
              </w:rPr>
              <w:t>12</w:t>
            </w:r>
          </w:p>
        </w:tc>
        <w:tc>
          <w:tcPr>
            <w:tcW w:w="19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全面两</w:t>
            </w:r>
            <w:proofErr w:type="gramStart"/>
            <w:r w:rsidRPr="002A65B5">
              <w:rPr>
                <w:rFonts w:hint="eastAsia"/>
                <w:sz w:val="24"/>
                <w:szCs w:val="24"/>
              </w:rPr>
              <w:t>孩人口</w:t>
            </w:r>
            <w:proofErr w:type="gramEnd"/>
            <w:r w:rsidRPr="002A65B5">
              <w:rPr>
                <w:rFonts w:hint="eastAsia"/>
                <w:sz w:val="24"/>
                <w:szCs w:val="24"/>
              </w:rPr>
              <w:t>政策调整后广西普惠性学前教育资源有效供给研究</w:t>
            </w:r>
            <w:r w:rsidRPr="002A65B5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642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李钰燕</w:t>
            </w:r>
            <w:r w:rsidRPr="002A65B5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918" w:type="pct"/>
          </w:tcPr>
          <w:p w:rsidR="002A65B5" w:rsidRPr="002A65B5" w:rsidRDefault="002A65B5" w:rsidP="002A65B5">
            <w:pPr>
              <w:rPr>
                <w:sz w:val="24"/>
                <w:szCs w:val="24"/>
              </w:rPr>
            </w:pPr>
            <w:r w:rsidRPr="002A65B5">
              <w:rPr>
                <w:rFonts w:hint="eastAsia"/>
                <w:sz w:val="24"/>
                <w:szCs w:val="24"/>
              </w:rPr>
              <w:t>广西教育研究院</w:t>
            </w:r>
          </w:p>
        </w:tc>
      </w:tr>
    </w:tbl>
    <w:p w:rsidR="002A65B5" w:rsidRPr="002A65B5" w:rsidRDefault="002A65B5" w:rsidP="002A65B5">
      <w:pPr>
        <w:rPr>
          <w:rFonts w:asciiTheme="minorEastAsia" w:hAnsiTheme="minorEastAsia"/>
          <w:b/>
          <w:sz w:val="24"/>
          <w:szCs w:val="24"/>
        </w:rPr>
      </w:pPr>
    </w:p>
    <w:sectPr w:rsidR="002A65B5" w:rsidRPr="002A6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AD"/>
    <w:rsid w:val="002A65B5"/>
    <w:rsid w:val="004F0FAD"/>
    <w:rsid w:val="00527E20"/>
    <w:rsid w:val="005A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MacBook Pro</cp:lastModifiedBy>
  <cp:revision>3</cp:revision>
  <dcterms:created xsi:type="dcterms:W3CDTF">2018-11-19T12:31:00Z</dcterms:created>
  <dcterms:modified xsi:type="dcterms:W3CDTF">2018-11-20T00:48:00Z</dcterms:modified>
</cp:coreProperties>
</file>